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80"/>
        <w:jc w:val="left"/>
        <w:rPr/>
      </w:pPr>
      <w:hyperlink w:anchor="toc">
        <w:bookmarkStart w:id="0" w:name="bcab-20231231.htm"/>
        <w:bookmarkStart w:id="1" w:name="ksbcab20231231"/>
        <w:bookmarkEnd w:id="0"/>
        <w:bookmarkEnd w:id="1"/>
        <w:r>
          <w:rPr>
            <w:rStyle w:val="InternetLink"/>
            <w:rFonts w:ascii="Times New Roman" w:hAnsi="Times New Roman"/>
            <w:b/>
            <w:color w:val="000000"/>
            <w:sz w:val="18"/>
            <w:u w:val="single"/>
          </w:rPr>
          <w:t>Table of Contents</w:t>
        </w:r>
      </w:hyperlink>
    </w:p>
    <w:p>
      <w:pPr>
        <w:pStyle w:val="TextBody"/>
        <w:pBdr>
          <w:bottom w:val="double" w:sz="6" w:space="1" w:color="000000"/>
        </w:pBdr>
        <w:bidi w:val="0"/>
        <w:jc w:val="left"/>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Form 10-K</w:t>
      </w:r>
    </w:p>
    <w:p>
      <w:pPr>
        <w:pStyle w:val="TextBody"/>
        <w:bidi w:val="0"/>
        <w:spacing w:before="54" w:after="283"/>
        <w:jc w:val="left"/>
        <w:rPr>
          <w:rFonts w:ascii="Times New Roman" w:hAnsi="Times New Roman"/>
          <w:b/>
          <w:color w:val="000000"/>
          <w:sz w:val="18"/>
        </w:rPr>
      </w:pPr>
      <w:r>
        <w:rPr>
          <w:rFonts w:ascii="Times New Roman" w:hAnsi="Times New Roman"/>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ANNUAL REPORT PURSUANT TO SECTION 13 OR 15(d) OF THE SECURITIES EXCHANGE ACT OF 1934</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 the fiscal year ended December 31, 2023</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 the transition period from to .</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Commission file number 001-39787</w:t>
      </w:r>
    </w:p>
    <w:p>
      <w:pPr>
        <w:pStyle w:val="TextBody"/>
        <w:bidi w:val="0"/>
        <w:spacing w:before="40" w:after="283"/>
        <w:jc w:val="center"/>
        <w:rPr>
          <w:rFonts w:ascii="Times New Roman" w:hAnsi="Times New Roman"/>
          <w:b/>
          <w:color w:val="000000"/>
          <w:sz w:val="44"/>
        </w:rPr>
      </w:pPr>
      <w:r>
        <w:rPr>
          <w:rFonts w:ascii="Times New Roman" w:hAnsi="Times New Roman"/>
          <w:b/>
          <w:color w:val="000000"/>
          <w:sz w:val="44"/>
        </w:rPr>
        <w:t>BIOATLA,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tbl>
      <w:tblPr>
        <w:tblW w:w="4888" w:type="dxa"/>
        <w:jc w:val="left"/>
        <w:tblInd w:w="0" w:type="dxa"/>
        <w:tblLayout w:type="fixed"/>
        <w:tblCellMar>
          <w:top w:w="28" w:type="dxa"/>
          <w:left w:w="28" w:type="dxa"/>
          <w:bottom w:w="28" w:type="dxa"/>
          <w:right w:w="28" w:type="dxa"/>
        </w:tblCellMar>
      </w:tblPr>
      <w:tblGrid>
        <w:gridCol w:w="3496"/>
        <w:gridCol w:w="146"/>
        <w:gridCol w:w="124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r>
      <w:tr>
        <w:trPr/>
        <w:tc>
          <w:tcPr>
            <w:tcW w:w="34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85-1922320</w:t>
            </w:r>
          </w:p>
        </w:tc>
      </w:tr>
      <w:tr>
        <w:trPr/>
        <w:tc>
          <w:tcPr>
            <w:tcW w:w="349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w:t>
              <w:br/>
              <w:t>incorporation or organization)</w:t>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496" w:type="dxa"/>
            <w:tcBorders/>
            <w:vAlign w:val="center"/>
          </w:tcPr>
          <w:p>
            <w:pPr>
              <w:pStyle w:val="TableContents"/>
              <w:bidi w:val="0"/>
              <w:spacing w:before="0" w:after="283"/>
              <w:jc w:val="left"/>
              <w:rPr/>
            </w:pPr>
            <w:r>
              <w:rPr/>
              <w:t> </w:t>
            </w:r>
          </w:p>
        </w:tc>
        <w:tc>
          <w:tcPr>
            <w:tcW w:w="1392" w:type="dxa"/>
            <w:gridSpan w:val="2"/>
            <w:tcBorders/>
            <w:vAlign w:val="center"/>
          </w:tcPr>
          <w:p>
            <w:pPr>
              <w:pStyle w:val="TableContents"/>
              <w:bidi w:val="0"/>
              <w:spacing w:before="0" w:after="283"/>
              <w:jc w:val="left"/>
              <w:rPr/>
            </w:pPr>
            <w:r>
              <w:rPr/>
              <w:t> </w:t>
            </w:r>
          </w:p>
        </w:tc>
      </w:tr>
      <w:tr>
        <w:trPr/>
        <w:tc>
          <w:tcPr>
            <w:tcW w:w="34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11085 Torreyana Road, San Diego, California</w:t>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92121</w:t>
            </w:r>
          </w:p>
        </w:tc>
      </w:tr>
      <w:tr>
        <w:trPr/>
        <w:tc>
          <w:tcPr>
            <w:tcW w:w="349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54"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16"/>
        </w:rPr>
      </w:pPr>
      <w:r>
        <w:rPr>
          <w:rFonts w:ascii="Times New Roman" w:hAnsi="Times New Roman"/>
          <w:b/>
          <w:color w:val="000000"/>
          <w:sz w:val="16"/>
        </w:rPr>
        <w:t>(858) 558-0708</w:t>
      </w:r>
    </w:p>
    <w:p>
      <w:pPr>
        <w:pStyle w:val="TextBody"/>
        <w:bidi w:val="0"/>
        <w:spacing w:before="54" w:after="283"/>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tbl>
      <w:tblPr>
        <w:tblW w:w="6490" w:type="dxa"/>
        <w:jc w:val="left"/>
        <w:tblInd w:w="0" w:type="dxa"/>
        <w:tblLayout w:type="fixed"/>
        <w:tblCellMar>
          <w:top w:w="28" w:type="dxa"/>
          <w:left w:w="28" w:type="dxa"/>
          <w:bottom w:w="28" w:type="dxa"/>
          <w:right w:w="28" w:type="dxa"/>
        </w:tblCellMar>
      </w:tblPr>
      <w:tblGrid>
        <w:gridCol w:w="3361"/>
        <w:gridCol w:w="146"/>
        <w:gridCol w:w="706"/>
        <w:gridCol w:w="146"/>
        <w:gridCol w:w="213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31" w:type="dxa"/>
            <w:tcBorders/>
            <w:vAlign w:val="center"/>
          </w:tcPr>
          <w:p>
            <w:pPr>
              <w:pStyle w:val="TableContents"/>
              <w:bidi w:val="0"/>
              <w:spacing w:before="0" w:after="283"/>
              <w:jc w:val="left"/>
              <w:rPr/>
            </w:pPr>
            <w:r>
              <w:rPr/>
              <w:t> </w:t>
            </w:r>
          </w:p>
        </w:tc>
      </w:tr>
      <w:tr>
        <w:trPr/>
        <w:tc>
          <w:tcPr>
            <w:tcW w:w="336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w:t>
              <w:br/>
              <w:t>Symbol(s)</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w:t>
              <w:br/>
              <w:t>on which registered</w:t>
            </w:r>
          </w:p>
        </w:tc>
      </w:tr>
      <w:tr>
        <w:trPr/>
        <w:tc>
          <w:tcPr>
            <w:tcW w:w="336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$0.0001 par value per share</w:t>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BCAB</w:t>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Global Market</w:t>
            </w:r>
          </w:p>
        </w:tc>
      </w:tr>
    </w:tbl>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Securities registered pursuant to Section 12(g) of the Act: None</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or 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or 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or No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40" w:after="283"/>
        <w:jc w:val="left"/>
        <w:rPr/>
      </w:pPr>
      <w:r>
        <w:rPr/>
        <w:t> </w:t>
      </w:r>
    </w:p>
    <w:tbl>
      <w:tblPr>
        <w:tblW w:w="5056" w:type="dxa"/>
        <w:jc w:val="left"/>
        <w:tblInd w:w="0" w:type="dxa"/>
        <w:tblLayout w:type="fixed"/>
        <w:tblCellMar>
          <w:top w:w="28" w:type="dxa"/>
          <w:left w:w="28" w:type="dxa"/>
          <w:bottom w:w="28" w:type="dxa"/>
          <w:right w:w="28" w:type="dxa"/>
        </w:tblCellMar>
      </w:tblPr>
      <w:tblGrid>
        <w:gridCol w:w="2041"/>
        <w:gridCol w:w="109"/>
        <w:gridCol w:w="316"/>
        <w:gridCol w:w="109"/>
        <w:gridCol w:w="2011"/>
        <w:gridCol w:w="109"/>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 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As of June 30, 2023, the last business day of the registrant’s most recently completed second fiscal quarter, the aggregate market value of the registrant’s common stock held by non-affiliates of the registrant was approximately $91.0</w:t>
      </w:r>
      <w:r>
        <w:rPr>
          <w:rFonts w:ascii="Times New Roman" w:hAnsi="Times New Roman"/>
          <w:color w:val="000000"/>
          <w:sz w:val="20"/>
        </w:rPr>
        <w:t xml:space="preserve"> </w:t>
      </w:r>
      <w:r>
        <w:rPr>
          <w:rFonts w:ascii="Times New Roman" w:hAnsi="Times New Roman"/>
          <w:color w:val="000000"/>
          <w:sz w:val="16"/>
        </w:rPr>
        <w:t>million based on the closing sales price of $3.00 per share as reported on the Nasdaq Global Market.</w:t>
      </w:r>
    </w:p>
    <w:p>
      <w:pPr>
        <w:pStyle w:val="TextBody"/>
        <w:bidi w:val="0"/>
        <w:spacing w:before="40" w:after="283"/>
        <w:jc w:val="left"/>
        <w:rPr>
          <w:rFonts w:ascii="Times New Roman" w:hAnsi="Times New Roman"/>
          <w:sz w:val="20"/>
        </w:rPr>
      </w:pPr>
      <w:r>
        <w:rPr>
          <w:rFonts w:ascii="Times New Roman" w:hAnsi="Times New Roman"/>
          <w:color w:val="000000"/>
          <w:sz w:val="16"/>
        </w:rPr>
        <w:t>As of March 22, 2024, the number of shares of the registrant’s common stock outstanding was 48,096,717</w:t>
      </w:r>
      <w:r>
        <w:rPr>
          <w:rFonts w:ascii="Times New Roman" w:hAnsi="Times New Roman"/>
          <w:color w:val="000000"/>
          <w:sz w:val="20"/>
        </w:rPr>
        <w:t xml:space="preserve"> </w:t>
      </w:r>
      <w:r>
        <w:rPr>
          <w:rFonts w:ascii="Times New Roman" w:hAnsi="Times New Roman"/>
          <w:color w:val="000000"/>
          <w:sz w:val="16"/>
        </w:rPr>
        <w:t>and the number of shares of the registrant’s Class B common stock outstanding was 0.</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Part III incorporates by reference certain information from the registrant’s definitive proxy statement (the “Proxy Statement”) relating to its 2024 Annual Meeting of Stockholders. The Proxy Statement will be filed with the United States Securities and Exchange Commission within 120 days after the end of the fiscal year to which this report relates.</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color w:val="000000"/>
          <w:sz w:val="18"/>
        </w:rPr>
      </w:pPr>
      <w:r>
        <w:rPr>
          <w:rFonts w:ascii="Times New Roman" w:hAnsi="Times New Roman"/>
          <w:color w:val="000000"/>
          <w:sz w:val="18"/>
        </w:rPr>
        <w:t>Annual Report on Form 10-K</w:t>
      </w:r>
    </w:p>
    <w:p>
      <w:pPr>
        <w:pStyle w:val="TextBody"/>
        <w:bidi w:val="0"/>
        <w:jc w:val="center"/>
        <w:rPr>
          <w:rFonts w:ascii="Times New Roman" w:hAnsi="Times New Roman"/>
          <w:color w:val="000000"/>
          <w:sz w:val="18"/>
        </w:rPr>
      </w:pPr>
      <w:r>
        <w:rPr>
          <w:rFonts w:ascii="Times New Roman" w:hAnsi="Times New Roman"/>
          <w:color w:val="000000"/>
          <w:sz w:val="18"/>
        </w:rPr>
        <w:t>For the Fiscal Year Ended December 31, 2023</w:t>
      </w:r>
    </w:p>
    <w:p>
      <w:pPr>
        <w:pStyle w:val="TextBody"/>
        <w:bidi w:val="0"/>
        <w:spacing w:before="216" w:after="283"/>
        <w:jc w:val="center"/>
        <w:rPr>
          <w:rFonts w:ascii="Times New Roman" w:hAnsi="Times New Roman"/>
          <w:b/>
          <w:color w:val="000000"/>
          <w:sz w:val="18"/>
        </w:rPr>
      </w:pPr>
      <w:bookmarkStart w:id="2" w:name="toc"/>
      <w:bookmarkEnd w:id="2"/>
      <w:r>
        <w:rPr>
          <w:rFonts w:ascii="Times New Roman" w:hAnsi="Times New Roman"/>
          <w:b/>
          <w:color w:val="000000"/>
          <w:sz w:val="18"/>
        </w:rPr>
        <w:t>TABLE OF CONTENTS</w:t>
      </w:r>
    </w:p>
    <w:tbl>
      <w:tblPr>
        <w:tblW w:w="10127" w:type="dxa"/>
        <w:jc w:val="left"/>
        <w:tblInd w:w="0" w:type="dxa"/>
        <w:tblLayout w:type="fixed"/>
        <w:tblCellMar>
          <w:top w:w="28" w:type="dxa"/>
          <w:left w:w="28" w:type="dxa"/>
          <w:bottom w:w="28" w:type="dxa"/>
          <w:right w:w="28" w:type="dxa"/>
        </w:tblCellMar>
      </w:tblPr>
      <w:tblGrid>
        <w:gridCol w:w="751"/>
        <w:gridCol w:w="266"/>
        <w:gridCol w:w="8071"/>
        <w:gridCol w:w="146"/>
        <w:gridCol w:w="146"/>
        <w:gridCol w:w="376"/>
        <w:gridCol w:w="371"/>
      </w:tblGrid>
      <w:tr>
        <w:trPr/>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80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ind w:left="0" w:right="0" w:firstLine="180"/>
              <w:jc w:val="left"/>
              <w:rPr/>
            </w:pPr>
            <w:r>
              <w:rPr/>
              <w:t> </w:t>
            </w:r>
          </w:p>
        </w:tc>
      </w:tr>
      <w:tr>
        <w:trPr/>
        <w:tc>
          <w:tcPr>
            <w:tcW w:w="9756" w:type="dxa"/>
            <w:gridSpan w:val="6"/>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SPECIAL NOTE REGARDING FORWARD-LOOKING STATEMENTS</w:t>
            </w:r>
          </w:p>
        </w:tc>
        <w:tc>
          <w:tcPr>
            <w:tcW w:w="371" w:type="dxa"/>
            <w:tcBorders/>
            <w:vAlign w:val="center"/>
          </w:tcPr>
          <w:p>
            <w:pPr>
              <w:pStyle w:val="TableContents"/>
              <w:bidi w:val="0"/>
              <w:spacing w:before="0" w:after="283"/>
              <w:jc w:val="left"/>
              <w:rPr>
                <w:sz w:val="4"/>
                <w:szCs w:val="4"/>
              </w:rPr>
            </w:pPr>
            <w:r>
              <w:rPr>
                <w:sz w:val="4"/>
                <w:szCs w:val="4"/>
              </w:rPr>
            </w:r>
          </w:p>
        </w:tc>
      </w:tr>
      <w:tr>
        <w:trPr/>
        <w:tc>
          <w:tcPr>
            <w:tcW w:w="10127" w:type="dxa"/>
            <w:gridSpan w:val="7"/>
            <w:tcBorders/>
            <w:vAlign w:val="center"/>
          </w:tcPr>
          <w:p>
            <w:pPr>
              <w:pStyle w:val="TableContents"/>
              <w:bidi w:val="0"/>
              <w:spacing w:before="0" w:after="283"/>
              <w:ind w:left="0" w:right="0" w:firstLine="180"/>
              <w:jc w:val="left"/>
              <w:rPr/>
            </w:pPr>
            <w:r>
              <w:rPr/>
              <w:t> </w:t>
            </w:r>
          </w:p>
        </w:tc>
      </w:tr>
      <w:tr>
        <w:trPr/>
        <w:tc>
          <w:tcPr>
            <w:tcW w:w="9756" w:type="dxa"/>
            <w:gridSpan w:val="6"/>
            <w:tcBorders/>
            <w:vAlign w:val="center"/>
          </w:tcPr>
          <w:p>
            <w:pPr>
              <w:pStyle w:val="TableContents"/>
              <w:pBdr/>
              <w:bidi w:val="0"/>
              <w:spacing w:before="0" w:after="283"/>
              <w:ind w:left="0" w:right="0" w:hanging="180"/>
              <w:jc w:val="left"/>
              <w:rPr>
                <w:rFonts w:ascii="Times New Roman" w:hAnsi="Times New Roman"/>
                <w:b/>
                <w:color w:val="000000"/>
                <w:sz w:val="18"/>
              </w:rPr>
            </w:pPr>
            <w:r>
              <w:rPr>
                <w:rFonts w:ascii="Times New Roman" w:hAnsi="Times New Roman"/>
                <w:b/>
                <w:color w:val="000000"/>
                <w:sz w:val="18"/>
              </w:rPr>
              <w:t>PART I</w:t>
            </w:r>
          </w:p>
        </w:tc>
        <w:tc>
          <w:tcPr>
            <w:tcW w:w="37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751" w:type="dxa"/>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Item 1.</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18"/>
                  <w:u w:val="single"/>
                </w:rPr>
                <w:t>Business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7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751" w:type="dxa"/>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Item 1A.</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18"/>
                  <w:u w:val="single"/>
                </w:rPr>
                <w:t>Risk Factors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7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751" w:type="dxa"/>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Item 1B.</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18"/>
                  <w:u w:val="single"/>
                </w:rPr>
                <w:t>Unresolved Staff Comments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37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751" w:type="dxa"/>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Item 1C.</w:t>
            </w:r>
          </w:p>
        </w:tc>
        <w:tc>
          <w:tcPr>
            <w:tcW w:w="266" w:type="dxa"/>
            <w:tcBorders/>
            <w:vAlign w:val="center"/>
          </w:tcPr>
          <w:p>
            <w:pPr>
              <w:pStyle w:val="TableContents"/>
              <w:bidi w:val="0"/>
              <w:spacing w:before="0" w:after="283"/>
              <w:jc w:val="left"/>
              <w:rPr/>
            </w:pPr>
            <w:r>
              <w:rPr/>
              <w:t> </w:t>
            </w:r>
          </w:p>
        </w:tc>
        <w:tc>
          <w:tcPr>
            <w:tcW w:w="8071" w:type="dxa"/>
            <w:tcBorders/>
            <w:vAlign w:val="center"/>
          </w:tcPr>
          <w:p>
            <w:pPr>
              <w:pStyle w:val="TableContents"/>
              <w:bidi w:val="0"/>
              <w:spacing w:before="0" w:after="283"/>
              <w:jc w:val="left"/>
              <w:rPr/>
            </w:pPr>
            <w:hyperlink w:anchor="item_1c_cybersecurity">
              <w:r>
                <w:rPr>
                  <w:rStyle w:val="InternetLink"/>
                  <w:rFonts w:ascii="Times New Roman" w:hAnsi="Times New Roman"/>
                  <w:color w:val="0000FF"/>
                  <w:sz w:val="18"/>
                  <w:u w:val="single"/>
                </w:rPr>
                <w:t>Cybersecurity</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371" w:type="dxa"/>
            <w:tcBorders/>
            <w:vAlign w:val="center"/>
          </w:tcPr>
          <w:p>
            <w:pPr>
              <w:pStyle w:val="TableContents"/>
              <w:bidi w:val="0"/>
              <w:spacing w:before="0" w:after="283"/>
              <w:ind w:left="0" w:right="0" w:firstLine="180"/>
              <w:jc w:val="left"/>
              <w:rPr/>
            </w:pPr>
            <w:r>
              <w:rPr/>
              <w:t> </w:t>
            </w:r>
          </w:p>
        </w:tc>
      </w:tr>
      <w:tr>
        <w:trPr/>
        <w:tc>
          <w:tcPr>
            <w:tcW w:w="751" w:type="dxa"/>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Item 2.</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18"/>
                  <w:u w:val="single"/>
                </w:rPr>
                <w:t>Properties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37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751" w:type="dxa"/>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Item 3.</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3_legal_proceedings">
              <w:r>
                <w:rPr>
                  <w:rStyle w:val="InternetLink"/>
                  <w:rFonts w:ascii="Times New Roman" w:hAnsi="Times New Roman"/>
                  <w:color w:val="0000FF"/>
                  <w:sz w:val="18"/>
                  <w:u w:val="single"/>
                </w:rPr>
                <w:t>Legal Proceedings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37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751" w:type="dxa"/>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Item 4.</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18"/>
                  <w:u w:val="single"/>
                </w:rPr>
                <w:t>Mine Safety Disclosures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371" w:type="dxa"/>
            <w:tcBorders/>
            <w:vAlign w:val="center"/>
          </w:tcPr>
          <w:p>
            <w:pPr>
              <w:pStyle w:val="TableContents"/>
              <w:bidi w:val="0"/>
              <w:spacing w:before="0" w:after="283"/>
              <w:jc w:val="left"/>
              <w:rPr>
                <w:sz w:val="4"/>
                <w:szCs w:val="4"/>
              </w:rPr>
            </w:pPr>
            <w:r>
              <w:rPr>
                <w:sz w:val="4"/>
                <w:szCs w:val="4"/>
              </w:rPr>
            </w:r>
          </w:p>
        </w:tc>
      </w:tr>
      <w:tr>
        <w:trPr/>
        <w:tc>
          <w:tcPr>
            <w:tcW w:w="9088" w:type="dxa"/>
            <w:gridSpan w:val="3"/>
            <w:tcBorders/>
            <w:vAlign w:val="center"/>
          </w:tcPr>
          <w:p>
            <w:pPr>
              <w:pStyle w:val="TableContents"/>
              <w:bidi w:val="0"/>
              <w:spacing w:before="0" w:after="283"/>
              <w:jc w:val="left"/>
              <w:rPr/>
            </w:pPr>
            <w:r>
              <w:rPr/>
              <w:t> </w:t>
            </w:r>
          </w:p>
        </w:tc>
        <w:tc>
          <w:tcPr>
            <w:tcW w:w="1039" w:type="dxa"/>
            <w:gridSpan w:val="4"/>
            <w:tcBorders/>
            <w:vAlign w:val="center"/>
          </w:tcPr>
          <w:p>
            <w:pPr>
              <w:pStyle w:val="TableContents"/>
              <w:bidi w:val="0"/>
              <w:spacing w:before="0" w:after="283"/>
              <w:ind w:left="0" w:right="0" w:firstLine="180"/>
              <w:jc w:val="left"/>
              <w:rPr/>
            </w:pPr>
            <w:r>
              <w:rPr/>
              <w:t> </w:t>
            </w:r>
          </w:p>
        </w:tc>
      </w:tr>
      <w:tr>
        <w:trPr/>
        <w:tc>
          <w:tcPr>
            <w:tcW w:w="9088" w:type="dxa"/>
            <w:gridSpan w:val="3"/>
            <w:tcBorders/>
            <w:vAlign w:val="center"/>
          </w:tcPr>
          <w:p>
            <w:pPr>
              <w:pStyle w:val="TableContents"/>
              <w:pBdr/>
              <w:bidi w:val="0"/>
              <w:spacing w:before="0" w:after="283"/>
              <w:ind w:left="0" w:right="0" w:hanging="180"/>
              <w:jc w:val="left"/>
              <w:rPr>
                <w:rFonts w:ascii="Times New Roman" w:hAnsi="Times New Roman"/>
                <w:b/>
                <w:color w:val="000000"/>
                <w:sz w:val="18"/>
              </w:rPr>
            </w:pPr>
            <w:r>
              <w:rPr>
                <w:rFonts w:ascii="Times New Roman" w:hAnsi="Times New Roman"/>
                <w:b/>
                <w:color w:val="000000"/>
                <w:sz w:val="18"/>
              </w:rPr>
              <w:t>PART II</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5.</w:t>
            </w:r>
          </w:p>
        </w:tc>
        <w:tc>
          <w:tcPr>
            <w:tcW w:w="266" w:type="dxa"/>
            <w:tcBorders/>
            <w:vAlign w:val="center"/>
          </w:tcPr>
          <w:p>
            <w:pPr>
              <w:pStyle w:val="TableContents"/>
              <w:bidi w:val="0"/>
              <w:spacing w:before="0" w:after="283"/>
              <w:ind w:left="0" w:right="0" w:firstLine="180"/>
              <w:jc w:val="left"/>
              <w:rPr>
                <w:sz w:val="4"/>
                <w:szCs w:val="4"/>
              </w:rPr>
            </w:pPr>
            <w:r>
              <w:rPr>
                <w:sz w:val="4"/>
                <w:szCs w:val="4"/>
              </w:rPr>
            </w:r>
          </w:p>
        </w:tc>
        <w:tc>
          <w:tcPr>
            <w:tcW w:w="8071" w:type="dxa"/>
            <w:tcBorders/>
            <w:vAlign w:val="center"/>
          </w:tcPr>
          <w:p>
            <w:pPr>
              <w:pStyle w:val="TableContents"/>
              <w:pBdr/>
              <w:bidi w:val="0"/>
              <w:spacing w:before="0" w:after="283"/>
              <w:ind w:left="0" w:right="0" w:hanging="180"/>
              <w:jc w:val="left"/>
              <w:rPr/>
            </w:pPr>
            <w:hyperlink w:anchor="item_5_market_for_registrant">
              <w:r>
                <w:rPr>
                  <w:rStyle w:val="InternetLink"/>
                  <w:rFonts w:ascii="Times New Roman" w:hAnsi="Times New Roman"/>
                  <w:color w:val="0000FF"/>
                  <w:sz w:val="18"/>
                  <w:u w:val="single"/>
                </w:rPr>
                <w:t>Market for Registrant’s Common Equity, Related Stockholder Matters and Issuer Purchases of Equity Securities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6.</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18"/>
                  <w:u w:val="single"/>
                </w:rPr>
                <w:t>Selected Financial Data</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7.</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7_management_discussion">
              <w:r>
                <w:rPr>
                  <w:rStyle w:val="InternetLink"/>
                  <w:rFonts w:ascii="Times New Roman" w:hAnsi="Times New Roman"/>
                  <w:color w:val="0000FF"/>
                  <w:sz w:val="18"/>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7A.</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18"/>
                  <w:u w:val="single"/>
                </w:rPr>
                <w:t>Quantitative and Qualitative Disclosures About Market Risk</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8.</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18"/>
                  <w:u w:val="single"/>
                </w:rPr>
                <w:t>Financial Statements and Supplementary Data</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9.</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18"/>
                  <w:u w:val="single"/>
                </w:rPr>
                <w:t>Changes in and Disagreements with Accountants on Accounting and Financial Disclosure</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9A.</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18"/>
                  <w:u w:val="single"/>
                </w:rPr>
                <w:t>Controls and Procedures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9B.</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9b_other_information">
              <w:r>
                <w:rPr>
                  <w:rStyle w:val="InternetLink"/>
                  <w:rFonts w:ascii="Times New Roman" w:hAnsi="Times New Roman"/>
                  <w:color w:val="0000FF"/>
                  <w:sz w:val="18"/>
                  <w:u w:val="single"/>
                </w:rPr>
                <w:t>Other Information</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371" w:type="dxa"/>
            <w:tcBorders/>
            <w:vAlign w:val="center"/>
          </w:tcPr>
          <w:p>
            <w:pPr>
              <w:pStyle w:val="TableContents"/>
              <w:bidi w:val="0"/>
              <w:spacing w:before="0" w:after="283"/>
              <w:jc w:val="left"/>
              <w:rPr>
                <w:sz w:val="4"/>
                <w:szCs w:val="4"/>
              </w:rPr>
            </w:pPr>
            <w:r>
              <w:rPr>
                <w:sz w:val="4"/>
                <w:szCs w:val="4"/>
              </w:rPr>
            </w:r>
          </w:p>
        </w:tc>
      </w:tr>
      <w:tr>
        <w:trPr/>
        <w:tc>
          <w:tcPr>
            <w:tcW w:w="9088" w:type="dxa"/>
            <w:gridSpan w:val="3"/>
            <w:tcBorders/>
            <w:vAlign w:val="center"/>
          </w:tcPr>
          <w:p>
            <w:pPr>
              <w:pStyle w:val="TableContents"/>
              <w:bidi w:val="0"/>
              <w:spacing w:before="0" w:after="283"/>
              <w:jc w:val="left"/>
              <w:rPr/>
            </w:pPr>
            <w:r>
              <w:rPr/>
              <w:t> </w:t>
            </w:r>
          </w:p>
        </w:tc>
        <w:tc>
          <w:tcPr>
            <w:tcW w:w="1039" w:type="dxa"/>
            <w:gridSpan w:val="4"/>
            <w:tcBorders/>
            <w:vAlign w:val="center"/>
          </w:tcPr>
          <w:p>
            <w:pPr>
              <w:pStyle w:val="TableContents"/>
              <w:bidi w:val="0"/>
              <w:spacing w:before="0" w:after="283"/>
              <w:ind w:left="0" w:right="0" w:firstLine="180"/>
              <w:jc w:val="left"/>
              <w:rPr/>
            </w:pPr>
            <w:r>
              <w:rPr/>
              <w:t> </w:t>
            </w:r>
          </w:p>
        </w:tc>
      </w:tr>
      <w:tr>
        <w:trPr/>
        <w:tc>
          <w:tcPr>
            <w:tcW w:w="9088" w:type="dxa"/>
            <w:gridSpan w:val="3"/>
            <w:tcBorders/>
            <w:vAlign w:val="center"/>
          </w:tcPr>
          <w:p>
            <w:pPr>
              <w:pStyle w:val="TableContents"/>
              <w:pBdr/>
              <w:bidi w:val="0"/>
              <w:spacing w:before="0" w:after="283"/>
              <w:ind w:left="0" w:right="0" w:hanging="180"/>
              <w:jc w:val="left"/>
              <w:rPr>
                <w:rFonts w:ascii="Times New Roman" w:hAnsi="Times New Roman"/>
                <w:b/>
                <w:color w:val="000000"/>
                <w:sz w:val="18"/>
              </w:rPr>
            </w:pPr>
            <w:r>
              <w:rPr>
                <w:rFonts w:ascii="Times New Roman" w:hAnsi="Times New Roman"/>
                <w:b/>
                <w:color w:val="000000"/>
                <w:sz w:val="18"/>
              </w:rPr>
              <w:t>PART III</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10.</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10">
              <w:r>
                <w:rPr>
                  <w:rStyle w:val="InternetLink"/>
                  <w:rFonts w:ascii="Times New Roman" w:hAnsi="Times New Roman"/>
                  <w:color w:val="0000FF"/>
                  <w:sz w:val="18"/>
                  <w:u w:val="single"/>
                </w:rPr>
                <w:t>Directors, Executive Officers and Corporate Governance</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11.</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11">
              <w:r>
                <w:rPr>
                  <w:rStyle w:val="InternetLink"/>
                  <w:rFonts w:ascii="Times New Roman" w:hAnsi="Times New Roman"/>
                  <w:color w:val="0000FF"/>
                  <w:sz w:val="18"/>
                  <w:u w:val="single"/>
                </w:rPr>
                <w:t>Executive Compensation</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12.</w:t>
            </w:r>
          </w:p>
        </w:tc>
        <w:tc>
          <w:tcPr>
            <w:tcW w:w="266" w:type="dxa"/>
            <w:tcBorders/>
            <w:vAlign w:val="center"/>
          </w:tcPr>
          <w:p>
            <w:pPr>
              <w:pStyle w:val="TableContents"/>
              <w:bidi w:val="0"/>
              <w:spacing w:before="0" w:after="283"/>
              <w:ind w:left="0" w:right="0" w:firstLine="180"/>
              <w:jc w:val="left"/>
              <w:rPr>
                <w:sz w:val="4"/>
                <w:szCs w:val="4"/>
              </w:rPr>
            </w:pPr>
            <w:r>
              <w:rPr>
                <w:sz w:val="4"/>
                <w:szCs w:val="4"/>
              </w:rPr>
            </w:r>
          </w:p>
        </w:tc>
        <w:tc>
          <w:tcPr>
            <w:tcW w:w="8071" w:type="dxa"/>
            <w:tcBorders/>
            <w:vAlign w:val="center"/>
          </w:tcPr>
          <w:p>
            <w:pPr>
              <w:pStyle w:val="TableContents"/>
              <w:pBdr/>
              <w:bidi w:val="0"/>
              <w:spacing w:before="0" w:after="283"/>
              <w:ind w:left="0" w:right="0" w:hanging="180"/>
              <w:jc w:val="left"/>
              <w:rPr/>
            </w:pPr>
            <w:hyperlink w:anchor="item_12">
              <w:r>
                <w:rPr>
                  <w:rStyle w:val="InternetLink"/>
                  <w:rFonts w:ascii="Times New Roman" w:hAnsi="Times New Roman"/>
                  <w:color w:val="0000FF"/>
                  <w:sz w:val="18"/>
                  <w:u w:val="single"/>
                </w:rPr>
                <w:t>Security Ownership of Certain Beneficial Owners and Management and Related Stockholder Matters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13.</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13">
              <w:r>
                <w:rPr>
                  <w:rStyle w:val="InternetLink"/>
                  <w:rFonts w:ascii="Times New Roman" w:hAnsi="Times New Roman"/>
                  <w:color w:val="0000FF"/>
                  <w:sz w:val="18"/>
                  <w:u w:val="single"/>
                </w:rPr>
                <w:t>Certain Relationships and Related Transactions, and Director Independence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14.</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14">
              <w:r>
                <w:rPr>
                  <w:rStyle w:val="InternetLink"/>
                  <w:rFonts w:ascii="Times New Roman" w:hAnsi="Times New Roman"/>
                  <w:color w:val="0000FF"/>
                  <w:sz w:val="18"/>
                  <w:u w:val="single"/>
                </w:rPr>
                <w:t>Principal Accountant Fees and Services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371" w:type="dxa"/>
            <w:tcBorders/>
            <w:vAlign w:val="center"/>
          </w:tcPr>
          <w:p>
            <w:pPr>
              <w:pStyle w:val="TableContents"/>
              <w:bidi w:val="0"/>
              <w:spacing w:before="0" w:after="283"/>
              <w:jc w:val="left"/>
              <w:rPr>
                <w:sz w:val="4"/>
                <w:szCs w:val="4"/>
              </w:rPr>
            </w:pPr>
            <w:r>
              <w:rPr>
                <w:sz w:val="4"/>
                <w:szCs w:val="4"/>
              </w:rPr>
            </w:r>
          </w:p>
        </w:tc>
      </w:tr>
      <w:tr>
        <w:trPr/>
        <w:tc>
          <w:tcPr>
            <w:tcW w:w="9088" w:type="dxa"/>
            <w:gridSpan w:val="3"/>
            <w:tcBorders/>
            <w:vAlign w:val="center"/>
          </w:tcPr>
          <w:p>
            <w:pPr>
              <w:pStyle w:val="TableContents"/>
              <w:bidi w:val="0"/>
              <w:spacing w:before="0" w:after="283"/>
              <w:jc w:val="left"/>
              <w:rPr/>
            </w:pPr>
            <w:r>
              <w:rPr/>
              <w:t> </w:t>
            </w:r>
          </w:p>
        </w:tc>
        <w:tc>
          <w:tcPr>
            <w:tcW w:w="1039" w:type="dxa"/>
            <w:gridSpan w:val="4"/>
            <w:tcBorders/>
            <w:vAlign w:val="center"/>
          </w:tcPr>
          <w:p>
            <w:pPr>
              <w:pStyle w:val="TableContents"/>
              <w:bidi w:val="0"/>
              <w:spacing w:before="0" w:after="283"/>
              <w:ind w:left="0" w:right="0" w:firstLine="180"/>
              <w:jc w:val="left"/>
              <w:rPr/>
            </w:pPr>
            <w:r>
              <w:rPr/>
              <w:t> </w:t>
            </w:r>
          </w:p>
        </w:tc>
      </w:tr>
      <w:tr>
        <w:trPr/>
        <w:tc>
          <w:tcPr>
            <w:tcW w:w="9088" w:type="dxa"/>
            <w:gridSpan w:val="3"/>
            <w:tcBorders/>
            <w:vAlign w:val="center"/>
          </w:tcPr>
          <w:p>
            <w:pPr>
              <w:pStyle w:val="TableContents"/>
              <w:pBdr/>
              <w:bidi w:val="0"/>
              <w:spacing w:before="0" w:after="283"/>
              <w:ind w:left="0" w:right="0" w:hanging="180"/>
              <w:jc w:val="left"/>
              <w:rPr>
                <w:rFonts w:ascii="Times New Roman" w:hAnsi="Times New Roman"/>
                <w:b/>
                <w:color w:val="000000"/>
                <w:sz w:val="18"/>
              </w:rPr>
            </w:pPr>
            <w:r>
              <w:rPr>
                <w:rFonts w:ascii="Times New Roman" w:hAnsi="Times New Roman"/>
                <w:b/>
                <w:color w:val="000000"/>
                <w:sz w:val="18"/>
              </w:rPr>
              <w:t>PART IV</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15.</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15_exhibits_and_financial">
              <w:r>
                <w:rPr>
                  <w:rStyle w:val="InternetLink"/>
                  <w:rFonts w:ascii="Times New Roman" w:hAnsi="Times New Roman"/>
                  <w:color w:val="0000FF"/>
                  <w:sz w:val="18"/>
                  <w:u w:val="single"/>
                </w:rPr>
                <w:t>Exhibits and Financial Statement Schedules</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16.</w:t>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pPr>
            <w:hyperlink w:anchor="item_16_form_10_k_summary">
              <w:r>
                <w:rPr>
                  <w:rStyle w:val="InternetLink"/>
                  <w:rFonts w:ascii="Times New Roman" w:hAnsi="Times New Roman"/>
                  <w:color w:val="0000FF"/>
                  <w:sz w:val="18"/>
                  <w:u w:val="single"/>
                </w:rPr>
                <w:t>Form 10-K Summary</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371" w:type="dxa"/>
            <w:tcBorders/>
            <w:vAlign w:val="center"/>
          </w:tcPr>
          <w:p>
            <w:pPr>
              <w:pStyle w:val="TableContents"/>
              <w:bidi w:val="0"/>
              <w:spacing w:before="0" w:after="283"/>
              <w:jc w:val="left"/>
              <w:rPr>
                <w:sz w:val="4"/>
                <w:szCs w:val="4"/>
              </w:rPr>
            </w:pPr>
            <w:r>
              <w:rPr>
                <w:sz w:val="4"/>
                <w:szCs w:val="4"/>
              </w:rPr>
            </w:r>
          </w:p>
        </w:tc>
      </w:tr>
      <w:tr>
        <w:trPr/>
        <w:tc>
          <w:tcPr>
            <w:tcW w:w="9088" w:type="dxa"/>
            <w:gridSpan w:val="3"/>
            <w:tcBorders/>
            <w:vAlign w:val="center"/>
          </w:tcPr>
          <w:p>
            <w:pPr>
              <w:pStyle w:val="TableContents"/>
              <w:bidi w:val="0"/>
              <w:spacing w:before="0" w:after="283"/>
              <w:jc w:val="left"/>
              <w:rPr/>
            </w:pPr>
            <w:hyperlink w:anchor="signatures">
              <w:r>
                <w:rPr>
                  <w:rStyle w:val="InternetLink"/>
                  <w:rFonts w:ascii="Times New Roman" w:hAnsi="Times New Roman"/>
                  <w:color w:val="0000FF"/>
                  <w:sz w:val="18"/>
                  <w:u w:val="single"/>
                </w:rPr>
                <w:t>SIGNATURES</w:t>
              </w:r>
            </w:hyperlink>
            <w:hyperlink w:anchor="signatures">
              <w:r>
                <w:rPr>
                  <w:rStyle w:val="InternetLink"/>
                  <w:rFonts w:ascii="Times New Roman" w:hAnsi="Times New Roman"/>
                  <w:color w:val="0000FF"/>
                  <w:sz w:val="18"/>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37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bookmarkStart w:id="3" w:name="part_i"/>
      <w:bookmarkEnd w:id="3"/>
      <w:r>
        <w:rPr>
          <w:rFonts w:ascii="Times New Roman" w:hAnsi="Times New Roman"/>
          <w:b/>
          <w:color w:val="000000"/>
          <w:sz w:val="18"/>
        </w:rPr>
        <w:t>PART I</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FORWARD-LOOKING STATEMENTS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This Annual Report on Form 10-K contains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known and unknown risks, uncertainties and assumptions, including risks described in the section titled “Risk Factors” set forth in Part I, Item 1A of this Annual Report on Form 10-K and in our other filings with the Securities and Exchange Commission (the “SEC”).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may differ materially and adversely from those anticipated or implied in the forward-looking statements. Forward-looking statements contained in this Annual Report on Form 10-K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develop and advance our current product candidates and programs into, and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ability of our clinical trials to demonstrate safety and efficacy of our product candidates and other positive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size of the market opportunity for our product candidates, including our estimates of the number of patients who suffer from the diseases we are targeting;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manufacturing, commercialization and marketing capabilities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plans and strategies to develop and commercialize our CAB antibodies;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plans to further develop our technology platform and expand our pipeline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potential benefits and advantages of our current and future product candidates that we may develop from our patented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or likelihood of regulatory filings and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developments in the United States and Europe and other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expectations and plans to obtain funding for our operations, including from our existing and potential future collaboration and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expectations regarding our ability to obtain and maintain intellectual property protection for our technology platform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potential benefits of our strategic relationships and our plans to pursue additional strategic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continued reliance on third parties to conduct additional clinical trials of our product candidates and for the manufacture of our product candidates for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estimates regarding expenses, future revenue, capital requirements and needs for additional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impact of health epidemics and outbreaks, including the COVID-19 pandemic, on our business, financial condition, results of operations, and prospects.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caution you that the foregoing list may not contain all of the forward-looking statements made in this Annual Report on Form 10-K.</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Annual Report on Form 10-K or to conform these statements to actual results or revised expectations.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You should read this Annual Report on Form 10-K with the understanding that our actual future results, levels of activity, performance and events and circumstances may be materially different from what we expect.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This Annual Report on Form 10-K contains estimates, projections and other information concerning our industry, our business and the markets for our product candidates. We obtained the industry, market and similar data set forth in this report from our own internal estimates and research and from academic and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Unless the context requires otherwise, references in this Annual Report on Form 10-K to “BioAtla,” “we,” “us” and “our” refer to BioAtla, Inc.</w:t>
      </w:r>
    </w:p>
    <w:p>
      <w:pPr>
        <w:pStyle w:val="TextBody"/>
        <w:bidi w:val="0"/>
        <w:spacing w:before="324" w:after="283"/>
        <w:jc w:val="left"/>
        <w:rPr>
          <w:rFonts w:ascii="Times New Roman" w:hAnsi="Times New Roman"/>
          <w:b/>
          <w:color w:val="000000"/>
          <w:sz w:val="18"/>
        </w:rPr>
      </w:pPr>
      <w:bookmarkStart w:id="4" w:name="item_1_business"/>
      <w:bookmarkEnd w:id="4"/>
      <w:r>
        <w:rPr>
          <w:rFonts w:ascii="Times New Roman" w:hAnsi="Times New Roman"/>
          <w:b/>
          <w:color w:val="000000"/>
          <w:sz w:val="18"/>
        </w:rPr>
        <w:t>ITEM 1. Business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Overview</w:t>
      </w:r>
    </w:p>
    <w:p>
      <w:pPr>
        <w:pStyle w:val="TextBody"/>
        <w:bidi w:val="0"/>
        <w:spacing w:before="108" w:after="283"/>
        <w:jc w:val="left"/>
        <w:rPr>
          <w:rFonts w:ascii="Times New Roman" w:hAnsi="Times New Roman"/>
          <w:sz w:val="20"/>
        </w:rPr>
      </w:pPr>
      <w:r>
        <w:rPr>
          <w:rFonts w:ascii="Times New Roman" w:hAnsi="Times New Roman"/>
          <w:color w:val="000000"/>
          <w:sz w:val="18"/>
        </w:rPr>
        <w:t>We are a clinical-stage biopharmaceutical company developing our novel class of highly specific and selective antibody-based therapeutics for the treatment of solid tumor cancer. Our conditionally active biologics (“CAB” or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cancer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 The enhanced selectivity of our CAB technology has the potential to greatly improve the benefit-risk ratio for the patient and allows us to deliver desired drug levels either as monotherapy or utilizing unique multi-targeted or combination therapies that are currently difficult or impossible to develop. Additionally, the combination of reversible binding with the selective, precision capability of our CAB technology enables both increased antibody potency and reduced toxicity. By exploiting our novel understanding of tumor biology, we believe that our proprietary CAB technology has the potential to transform antibody-based cancer therapy.</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Our goal is to develop well-tolerated, novel cancer therapies that provide cures or extended survival to ensure patients’ improved quality of life. Studies have shown that, as a drug class, antibodies have transformed oncology treatment and include some of the best-selling therapies on the biopharmaceutical market. The broad applicability of our CAB technology allows us to develop a wide array of product candidate modalities, such as monoclonal antibodies, antibody-drug conjugates, or ADCs, T cell-engaging bispecific antibodies and chimeric antigen receptor T cells, or CAR-T cells. In 2021, we published a paper in the Proceedings of the National Academy of Sciences (PNAS) describing a novel mechanism using physiological chemicals as Protein-activated Chemical Switches</w:t>
      </w:r>
      <w:r>
        <w:rPr>
          <w:rFonts w:ascii="Times New Roman" w:hAnsi="Times New Roman"/>
          <w:color w:val="000000"/>
          <w:sz w:val="12"/>
        </w:rPr>
        <w:t>TM</w:t>
      </w:r>
      <w:r>
        <w:rPr>
          <w:rFonts w:ascii="Times New Roman" w:hAnsi="Times New Roman"/>
          <w:color w:val="000000"/>
          <w:sz w:val="18"/>
        </w:rPr>
        <w:t>, or PaCS</w:t>
      </w:r>
      <w:r>
        <w:rPr>
          <w:rFonts w:ascii="Times New Roman" w:hAnsi="Times New Roman"/>
          <w:color w:val="000000"/>
          <w:sz w:val="12"/>
        </w:rPr>
        <w:t>TM</w:t>
      </w:r>
      <w:r>
        <w:rPr>
          <w:rFonts w:ascii="Times New Roman" w:hAnsi="Times New Roman"/>
          <w:color w:val="000000"/>
          <w:sz w:val="18"/>
        </w:rPr>
        <w:t>, for generating CAB antibodies. Initially, we applied the reversible binding and precision capability of our CAB technology to advance next-generation ADC therapies. We have also developed antibodies for immuno-oncology and for bispecific, T cell engagement. The bispecific CAB antibodies are comprised of two different binding specificities, which allows the antibody to bind to two specific targets at the same time, generally one target on the tumor cell and one target on an immune system cell.</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Our pipeline</w:t>
      </w:r>
    </w:p>
    <w:p>
      <w:pPr>
        <w:pStyle w:val="TextBody"/>
        <w:bidi w:val="0"/>
        <w:spacing w:before="108" w:after="283"/>
        <w:jc w:val="left"/>
        <w:rPr>
          <w:rFonts w:ascii="Times New Roman" w:hAnsi="Times New Roman"/>
          <w:sz w:val="20"/>
        </w:rPr>
      </w:pPr>
      <w:r>
        <w:rPr>
          <w:rFonts w:ascii="Times New Roman" w:hAnsi="Times New Roman"/>
          <w:color w:val="000000"/>
          <w:sz w:val="18"/>
        </w:rPr>
        <w:t>We believe that there is significant potential to improve therapeutics for our patients with our proprietary CAB antibody technology across well-validated oncology targets in solid tumors. The following table summarizes our current product candidate pipeline.</w:t>
      </w:r>
      <w:r>
        <w:rPr>
          <w:rFonts w:ascii="Times New Roman" w:hAnsi="Times New Roman"/>
          <w:color w:val="000000"/>
          <w:sz w:val="20"/>
        </w:rPr>
        <w:t xml:space="preserve"> </w:t>
      </w:r>
    </w:p>
    <w:p>
      <w:pPr>
        <w:pStyle w:val="TextBody"/>
        <w:bidi w:val="0"/>
        <w:jc w:val="center"/>
        <w:rPr/>
      </w:pPr>
      <w:r>
        <w:rPr/>
        <w:drawing>
          <wp:inline distT="0" distB="0" distL="0" distR="0">
            <wp:extent cx="6858000" cy="2743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743200"/>
                    </a:xfrm>
                    <a:prstGeom prst="rect">
                      <a:avLst/>
                    </a:prstGeom>
                  </pic:spPr>
                </pic:pic>
              </a:graphicData>
            </a:graphic>
          </wp:inline>
        </w:drawing>
      </w:r>
      <w:r>
        <w:rPr/>
        <w:t> </w:t>
      </w:r>
    </w:p>
    <w:p>
      <w:pPr>
        <w:pStyle w:val="TextBody"/>
        <w:bidi w:val="0"/>
        <w:spacing w:before="216" w:after="283"/>
        <w:jc w:val="left"/>
        <w:rPr>
          <w:rFonts w:ascii="Times New Roman" w:hAnsi="Times New Roman"/>
          <w:sz w:val="20"/>
        </w:rPr>
      </w:pPr>
      <w:r>
        <w:rPr>
          <w:rFonts w:ascii="Times New Roman" w:hAnsi="Times New Roman"/>
          <w:b/>
          <w:color w:val="000000"/>
          <w:sz w:val="18"/>
        </w:rPr>
        <w:t>Mecbotamab vedotin (BA3011):</w:t>
      </w:r>
      <w:r>
        <w:rPr>
          <w:rFonts w:ascii="Times New Roman" w:hAnsi="Times New Roman"/>
          <w:color w:val="000000"/>
          <w:sz w:val="20"/>
        </w:rPr>
        <w:t xml:space="preserve"> </w:t>
      </w:r>
      <w:r>
        <w:rPr>
          <w:rFonts w:ascii="Times New Roman" w:hAnsi="Times New Roman"/>
          <w:color w:val="000000"/>
          <w:sz w:val="18"/>
        </w:rPr>
        <w:t>Our lead clinical stage product candidate, mecbotamab vedotin, or BA3011, is a CAB ADC that targets AXL, a protein kinase receptor that is expressed on the surface of many tumors. AXL is considered to be a driver of many cellular processes that are critical for the development, growth and spread of tumors, including proliferation, invasiveness and migration, stemness, which is related to core stem cell properties such as self-renewal and differentiation, angiogenesis, or the growth of blood vessels, and immune modulation. AXL has been shown to be involved in the epithelial-mesenchymal transition, or EMT, a process by which epithelial cells lose their cell polarity and cell-cell adhesion, and gain migratory and invasive properties to become mesenchymal stem cells, or MSCs. MSCs are home to developing aggressive tumors, where they exacerbate cancer cell proliferation, motility, invasion and metastasis, foster angiogenesis, promote tumor fibrosis and suppress antitumor immune responses. Multiple therapeutic agents that target AXL have been developed and investigated in clinical trials. A number of small-molecule AXL kinase inhibitors have been developed; however, the majority of these inhibitors, including one that is approved, are not highly selective for AXL. Although other non-CAB anti-AXL antibodies and ADCs have shown encouraging clinical signs of antitumor activity, adverse events, such as high-grade constipation and peripheral neuropathy, were particularly pronounced and led to discontinuation of clinical development of some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Mecbotamab vedotin is an ADC consisting of a CAB humanized immunoglobulin G, or IgG1, anti-AXL monoclonal antibody. The core antibody is conjugated using a cleavable linker attached to the well-known and proven toxin monomethyl auristatin E, or MMAE. Mecbotamab vedotin is designed to specifically and reversibly bind to AXL in conditions found within the tumor microenvironment, thus conferring a selectivity binding advantage for tumors over normal cells. Upon binding of mecbotamab vedotin to AXL on the surface of tumor cells, it is internalized and the MMAE cytotoxin is released, thus killing the cancer cell.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are developing mecbotamab vedotin as a potential therapeutic for multiple solid tumor types, including soft tissue and bone sarcoma and non-small cell lung cancer (NSCLC), with other potential indications in the future. The Office of Orphan Products Development (OOPD) at the FDA has granted Orphan Drug Designation to mecbotamab vedotin for the treatment of soft tissue sarcoma. Phase 1 results in sarcoma patients indicated mecbotamab vedotin was generally well-tolerated in this refractory sarcoma population. Few patients discontinued due to an adverse event and no clinically meaningful on-target toxicity to normal AXL-expressing tissue was observed over baseline levels. Dose-limiting toxicities were limited to free circulating MMAE payload-associated toxicity at the highest dose tested, including reversible neutropenia. We are conducting a Phase 2 study (BA3011-002) in AXL positive NSCLC patients who have previously progressed on programmed cell death protein 1 (“PD-1”)/programmed cell death ligand 1 (“PD-L1”), epidermal growth factor receptor (“EGFR”), or anaplastic lymphoma kinase (“ALK”) inhibitor therapy. We are also conducting a potentially registrational Phase 2 study in sarcoma. In both Phase 2 indications, we are enrolling patients either as a monotherapy or in combination with the PD-1 inhibitor nivolumab.</w:t>
      </w:r>
    </w:p>
    <w:p>
      <w:pPr>
        <w:pStyle w:val="TextBody"/>
        <w:bidi w:val="0"/>
        <w:spacing w:before="216" w:after="283"/>
        <w:jc w:val="left"/>
        <w:rPr>
          <w:rFonts w:ascii="Times New Roman" w:hAnsi="Times New Roman"/>
          <w:sz w:val="20"/>
        </w:rPr>
      </w:pPr>
      <w:r>
        <w:rPr>
          <w:rFonts w:ascii="Times New Roman" w:hAnsi="Times New Roman"/>
          <w:b/>
          <w:color w:val="000000"/>
          <w:sz w:val="18"/>
        </w:rPr>
        <w:t>Ozuriftabmab vedotin (BA3021):</w:t>
      </w:r>
      <w:r>
        <w:rPr>
          <w:rFonts w:ascii="Times New Roman" w:hAnsi="Times New Roman"/>
          <w:color w:val="000000"/>
          <w:sz w:val="20"/>
        </w:rPr>
        <w:t xml:space="preserve"> </w:t>
      </w:r>
      <w:r>
        <w:rPr>
          <w:rFonts w:ascii="Times New Roman" w:hAnsi="Times New Roman"/>
          <w:color w:val="000000"/>
          <w:sz w:val="18"/>
        </w:rPr>
        <w:t>We are developing our second clinical stage product candidate, ozuriftamab vedotin or BA3021, a CAB antibody drug conjugate directed against ROR2, or Receptor Tyrosine Kinase Like Orphan Receptor 2. ROR2 is overexpressed across many different solid tumors, including breast, lung, pancreatic, renal, ovarian, and colorectal cancers, squamous cell cancer of the head and neck, or SCCHN, and melanoma; its tumoral expression is further enhanced among those treated with PD-1 checkpoint inhibitors. Cancer cell expression of ROR2 has been associated with enhanced cancer cell migration, EMT, increased associated risk for relapse, metastasis and unfavorable prognosis. In breast cancer, for example, ROR2 was found to be expressed in the majority of patient samples, with those expressing ROR2 having decreased overall survival. A similar correlation between ROR2 expression level and overall survival was observed in NSCLC and metastatic melanoma. Genetic inactivation of ROR2 in metastatic melanoma cells was shown to prevent metastases of these tumor cells in mice. ROR2 also</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has essential roles in normal cells and in early development. Inactivation of ROR2 is lethal in mice with defects observed in the heart, nervous system and skeleton. Less severe mutations in ROR2 in humans is associated with skeletal diseases Robinow syndrome and brachydactyly type B.</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Ozuriftamab vedotin is a CAB anti-ROR2 ADC consisting of a CAB anti-ROR2 humanized IgG1 monoclonal antibody conjugated to MMAE using a cleavable linker. Ozuriftamab vedotin is designed to specifically and reversibly bind to ROR2 in conditions found within the tumor microenvironment, thus conferring a selectivity binding advantage for tumors over normal cells. Upon binding of ozuriftamab vedotin to ROR2 on the surface of tumor cells, it is internalized and the MMAE cytotoxin is released, thus killing the cancer cell.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are developing ozuriftamab vedotin as a potential therapeutic for multiple solid tumor types, including melanoma and SCCHN. Based on Phase 1 data, we believe ozuriftamab vedotin has broad potential as a cancer therapy for patients with advanced solid tumors who have experienced prior failure of PD-1 blockade. We are enrolling a Phase 2 trial of ozuriftamab vedotin monotherapy or in combination with a PD-1 inhibitor in patients with ROR2 positive melanoma who have previously progressed on PD-1/L1 inhibitor. We are also conducting a Phase 2 study in patients with SCCHN.</w:t>
      </w:r>
    </w:p>
    <w:p>
      <w:pPr>
        <w:pStyle w:val="TextBody"/>
        <w:bidi w:val="0"/>
        <w:spacing w:before="210" w:after="283"/>
        <w:jc w:val="left"/>
        <w:rPr>
          <w:rFonts w:ascii="Times New Roman" w:hAnsi="Times New Roman"/>
          <w:sz w:val="20"/>
        </w:rPr>
      </w:pPr>
      <w:r>
        <w:rPr>
          <w:rFonts w:ascii="Times New Roman" w:hAnsi="Times New Roman"/>
          <w:b/>
          <w:color w:val="000000"/>
          <w:sz w:val="18"/>
        </w:rPr>
        <w:t>Evalstotug (BA3071):</w:t>
      </w:r>
      <w:r>
        <w:rPr>
          <w:rFonts w:ascii="Times New Roman" w:hAnsi="Times New Roman"/>
          <w:color w:val="000000"/>
          <w:sz w:val="20"/>
        </w:rPr>
        <w:t xml:space="preserve"> </w:t>
      </w:r>
      <w:r>
        <w:rPr>
          <w:rFonts w:ascii="Times New Roman" w:hAnsi="Times New Roman"/>
          <w:color w:val="000000"/>
          <w:sz w:val="18"/>
        </w:rPr>
        <w:t>Our third clinical stage product candidate, evalstotug, is a CAB anti-CTLA-4 antibody that is being developed as an immuno-oncology agent with the goal of delivering at least the efficacy of approved CTLA-4 antibodies, such as ipilimumab, but with lower toxicity rate as a result of the CAB’s unique tumor microenvironment-restricted binding. CTLA-4, or cytotoxic T-lymphocyte-associated antigen 4, is an immune checkpoint involved in regulating T-cell activation. The primary role of immune checkpoints is to prevent autoimmune attacks against normal tissue in the body; however, cancer cells often take advantage of this pathway to prevent immune destruction of the tumor. Ipilimumab and tremelimumab currently are the only anti-CTLA-4 monoclonal antibodies approved by the FDA. Ipilimumab is approved as a single agent for the treatment of melanoma, and in combination with an anti-PD-1 antibody for the treatment of multiple solid tumors, including melanoma, RCC, colorectal cancer and NSCLC, and tremelimumab is approved in combination with an anti-PD-L-1 antibody for the treatment of unresectable hepatocellular carcinoma and NSCLC. Patients treated with these checkpoint inhibitors face a risk of a number of adverse events associated with inappropriate activation of the immune system beyond the tumor site including severe and sometimes fatal enterocolitis, hepatitis, dermatitis, neuropathy and endocrinopathy. Consequently, usage and dosage of ipilimumab is highly limited due to its safety profile.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are developing evalstotug as a potential therapeutic for multiple solid tumor indications. We have initiated a Phase 1/2 dose-escalation trial of evalstotug as monotherapy and in combination with an anti-PD-1 antibody. We have also initiated our Phase 2 study of evalstotug for treatment-refractory melanoma and carcinomas, and treatment-naïve melanoma and NSCLC, at a dose of 350mg and more recently 700mg. We are currently evaluating the 1000mg dose level in our Phase 1 study and potentially will in Phase 2 once Phase 1 is cleared. Patients receiving evalstotug at 700mg and 1000mg will be treated with prophylactic tocilizumab to help reduce risks associated with the release of cytokines into the blood from immune cells that have been activated by the treatment.</w:t>
      </w:r>
    </w:p>
    <w:p>
      <w:pPr>
        <w:pStyle w:val="TextBody"/>
        <w:bidi w:val="0"/>
        <w:spacing w:before="216" w:after="283"/>
        <w:jc w:val="left"/>
        <w:rPr>
          <w:rFonts w:ascii="Times New Roman" w:hAnsi="Times New Roman"/>
          <w:sz w:val="20"/>
        </w:rPr>
      </w:pPr>
      <w:r>
        <w:rPr>
          <w:rFonts w:ascii="Times New Roman" w:hAnsi="Times New Roman"/>
          <w:b/>
          <w:color w:val="000000"/>
          <w:sz w:val="18"/>
        </w:rPr>
        <w:t>BA3182 (CAB-EpCAM x CAB-CD3):</w:t>
      </w:r>
      <w:r>
        <w:rPr>
          <w:rFonts w:ascii="Times New Roman" w:hAnsi="Times New Roman"/>
          <w:color w:val="000000"/>
          <w:sz w:val="20"/>
        </w:rPr>
        <w:t xml:space="preserve"> </w:t>
      </w:r>
      <w:r>
        <w:rPr>
          <w:rFonts w:ascii="Times New Roman" w:hAnsi="Times New Roman"/>
          <w:color w:val="000000"/>
          <w:sz w:val="18"/>
        </w:rPr>
        <w:t>Our first bispecific candidate, BA3182, is being investigated in a Phase 1 study in advanced adenocarcinoma. We have leveraged our CAB technology to develop bispecific antibodies, which bind both a tumor-specific antigen and a T cell receptor using CAB antigen-binding domains. A bispecific antibody is a type of engineered antibody that can simultaneously bind two separate and unique antigens, unlike conventional monospecific antibodies that only bind to one type of target.</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A common design feature for a bispecific antibody is to include a T cell engager component (</w:t>
      </w:r>
      <w:r>
        <w:rPr>
          <w:rFonts w:ascii="Times New Roman" w:hAnsi="Times New Roman"/>
          <w:i/>
          <w:color w:val="000000"/>
          <w:sz w:val="18"/>
        </w:rPr>
        <w:t>i.e.</w:t>
      </w:r>
      <w:r>
        <w:rPr>
          <w:rFonts w:ascii="Times New Roman" w:hAnsi="Times New Roman"/>
          <w:color w:val="000000"/>
          <w:sz w:val="18"/>
        </w:rPr>
        <w:t>, CD3 receptor), such that one antigen-binding domain recognizes a surface-expressed tumor antigen and the other antigen-binding domain binds to and activates CD3+ T cells. With this design, bispecific antibodies can induce potent T cell responses against tumors expressing the tumor target antigen in a simplified manner relative to even off-the-shelf or allogeneic CAR-T therapies. The first FDA-approved bispecific antibody was a T cell engager, blinatumomab, which contained antigen-binding domains for CD19, an antigen found on B-cell leukemias, and CD3, a T cell activating receptor.</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are multiple structural variants of antibodies and other antigen-binding domains being used by others to construct bispecific product candidates, some of which are being tested clinically. However, similar to CAR-T cells and blinatumomab, many of these bispecific product candidates have increased risks of generating life-threatening cytokine release syndrome and other potential adverse events due to systemic immune activation and the wide expression of EpCAM, or epithelial cell adhesion molecule.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applied our CAB antibody technology to develop bispecific CAB antibodies in which one or both antigen-binding domains are active only in the tumor microenvironment. An example of this approach is our BA3182 bispecific. EpCAM is a protein that is over-expressed in many cancers including carcinomas derived from colon, intestine, breast, lung and prostate. Expression of EpCAM has been extensively associated with cell growth and proliferation of both healthy and cancer cells.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EpCAM was one of the first cancer-associated antigens discovered, however in the forty years since, its clinical impact as a target for therapeutic antibodies in cancer has been limited. One of the problems with targeting EpCAM is its broad expression in the basolateral membranes of normal epithelial cells. Conventional approaches of avoiding systemic toxicities, including deliberately selecting antibodies with low affinity for EpCAM with the intention of generating some degree of selectivity for tumors that express very high levels of EpCAM, have not been successful. Bispecific constructs targeting EpCAM have also not lived up to expectations. Solitomab, an EpCAM x CD3 bispecific led to over 95% of patients in a Phase 1 dose-escalation trial to experience at least one Grade 3 or above adverse event. Over 20% of patients experienced dose-limiting toxicities, and at these required low doses, there was only one unconfirmed partial response observed among 65 patients.</w:t>
      </w:r>
    </w:p>
    <w:p>
      <w:pPr>
        <w:pStyle w:val="TextBody"/>
        <w:bidi w:val="0"/>
        <w:spacing w:before="216" w:after="283"/>
        <w:jc w:val="left"/>
        <w:rPr>
          <w:rFonts w:ascii="Times New Roman" w:hAnsi="Times New Roman"/>
          <w:sz w:val="20"/>
        </w:rPr>
      </w:pPr>
      <w:r>
        <w:rPr>
          <w:rFonts w:ascii="Times New Roman" w:hAnsi="Times New Roman"/>
          <w:color w:val="000000"/>
          <w:sz w:val="18"/>
        </w:rPr>
        <w:t>We are also completing Investigational New Drug (IND) enabling studies for our next-generation CAB ADC, Nectin-4 with an expected IND in 2024. Additional in-process CAB candidates including B7 H3 x CD3 bispecific, EGFR x CD3 bispecific, Nectin4 x CD3 bispecific, and</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B7-H4 as a next-generation CAB ADC candidate have been positioned for partnering and portfolio prioritization in favor of our Phase 2 potential registrational trial enabling studies.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Our strategy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mission is to develop and commercialize innovative antibody-based therapeutics for the treatment of solid tumors that are designed to bind depending on the physical and chemical properties of tumors and their microenvironment. We believe that our proprietary CAB technology and approach have the potential to transform cancer therapy by decreasing systemic toxicities and improving efficacy. Our strategy to achieve this mission is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 xml:space="preserve">Advance our lead product candidates through regulatory approval and commercialization.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left"/>
        <w:rPr/>
      </w:pPr>
      <w:r>
        <w:rPr>
          <w:rFonts w:ascii="Times New Roman" w:hAnsi="Times New Roman"/>
          <w:i/>
          <w:color w:val="000000"/>
          <w:sz w:val="18"/>
        </w:rPr>
        <w:t xml:space="preserve">Mecbotamab vedotin (BA3011): </w:t>
      </w:r>
      <w:r>
        <w:rPr>
          <w:rFonts w:ascii="Times New Roman" w:hAnsi="Times New Roman"/>
          <w:color w:val="000000"/>
          <w:sz w:val="18"/>
        </w:rPr>
        <w:t>Clinical data from our Phase 1 and Phase 2 part 1 trials with mecbotamab vedotin are supportive of its development in metastatic sarcomas, a set of cancers with a high unmet clinical need, and in metastatic PD-1 failure NSCLC. We are conducting a potentially registration-enabling Phase 2 trial for mecbotamab vedotin in undifferentiated pleomorphic sarcoma, or UPS, patients (12 years of age or older). In addition, we have obtained FDA clearance to initiate a potentially registration-enabling Phase 2/3 trial in NSCLC in 2</w:t>
      </w:r>
      <w:r>
        <w:rPr>
          <w:rFonts w:ascii="Times New Roman" w:hAnsi="Times New Roman"/>
          <w:color w:val="000000"/>
          <w:sz w:val="12"/>
        </w:rPr>
        <w:t xml:space="preserve">nd </w:t>
      </w:r>
      <w:r>
        <w:rPr>
          <w:rFonts w:ascii="Times New Roman" w:hAnsi="Times New Roman"/>
          <w:color w:val="000000"/>
          <w:sz w:val="18"/>
        </w:rPr>
        <w:t>Line + or 3</w:t>
      </w:r>
      <w:r>
        <w:rPr>
          <w:rFonts w:ascii="Times New Roman" w:hAnsi="Times New Roman"/>
          <w:color w:val="000000"/>
          <w:sz w:val="12"/>
        </w:rPr>
        <w:t>rd</w:t>
      </w:r>
      <w:r>
        <w:rPr>
          <w:color w:val="000000"/>
        </w:rPr>
        <w:t xml:space="preserve"> </w:t>
      </w:r>
      <w:r>
        <w:rPr>
          <w:rFonts w:ascii="Times New Roman" w:hAnsi="Times New Roman"/>
          <w:color w:val="000000"/>
          <w:sz w:val="18"/>
        </w:rPr>
        <w:t>Line + population.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left"/>
        <w:rPr/>
      </w:pPr>
      <w:r>
        <w:rPr>
          <w:rFonts w:ascii="Times New Roman" w:hAnsi="Times New Roman"/>
          <w:i/>
          <w:color w:val="000000"/>
          <w:sz w:val="18"/>
        </w:rPr>
        <w:t>Ozuriftamab vedotin (BA3021):</w:t>
      </w:r>
      <w:r>
        <w:rPr>
          <w:color w:val="000000"/>
        </w:rPr>
        <w:t xml:space="preserve"> </w:t>
      </w:r>
      <w:r>
        <w:rPr>
          <w:rFonts w:ascii="Times New Roman" w:hAnsi="Times New Roman"/>
          <w:color w:val="000000"/>
          <w:sz w:val="18"/>
        </w:rPr>
        <w:t>We have observed antitumor activity in PD-1 failure NSCLC, melanoma and SCCHN patients in our Phase 1 trial and have initiated Phase 2 trials of ozuriftamab vedotin in the melanoma and SCCHN indications.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left"/>
        <w:rPr/>
      </w:pPr>
      <w:r>
        <w:rPr>
          <w:rFonts w:ascii="Times New Roman" w:hAnsi="Times New Roman"/>
          <w:i/>
          <w:color w:val="000000"/>
          <w:sz w:val="18"/>
        </w:rPr>
        <w:t>Evalstotug (BA3071):</w:t>
      </w:r>
      <w:r>
        <w:rPr>
          <w:color w:val="000000"/>
        </w:rPr>
        <w:t xml:space="preserve"> </w:t>
      </w:r>
      <w:r>
        <w:rPr>
          <w:rFonts w:ascii="Times New Roman" w:hAnsi="Times New Roman"/>
          <w:color w:val="000000"/>
          <w:sz w:val="18"/>
        </w:rPr>
        <w:t>Evalstotug is designed to provide the efficacy similar to that of ipilimumab, an anti-CTLA-4 monoclonal antibody approved by the FDA, but with the potential of a significantly enhanced safety profile due to the conditional binding properties of CABs. This may allow for patients to be treated at higher dosage and/or for more cycles of treatment in combination with an anti-PD-1 antibody that may lead to better therapeutic results. To date, we have observed objective responses and disease control among patients treated in our Phase 1 study at 350mg in combination with anti-PD-1 antibody, and have seen limited adverse events of Grade 3 or higher, suggesting an improved safety profile for evalstotug.</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left"/>
        <w:rPr/>
      </w:pPr>
      <w:r>
        <w:rPr>
          <w:rFonts w:ascii="Times New Roman" w:hAnsi="Times New Roman"/>
          <w:i/>
          <w:color w:val="000000"/>
          <w:sz w:val="18"/>
        </w:rPr>
        <w:t>BA3182 (CAB-EpCAM x CAB-CD3)</w:t>
      </w:r>
      <w:r>
        <w:rPr>
          <w:rFonts w:ascii="Times New Roman" w:hAnsi="Times New Roman"/>
          <w:color w:val="000000"/>
          <w:sz w:val="18"/>
        </w:rPr>
        <w:t>: Our first bispecific candidate with an IND, cleared by FDA, demonstrated in its IND-enabling studies a more than 100-fold improvement in the therapeutic window. We have initiated a Phase 1 study in advanced adenocarcinoma. Carcinoma is the most common form of cancer and adenocarcinoma is the most common subtype. Adenocarcinoma is most prevalent in the lung, prostate, breast, pancreas, esophagus, colon/rectum and stomach. Almost all prostate and breast cancers are adenocarcinoma, and about 96% of colorectal and 40% of non-small cell lung cancers are adenocarcinoma (American Cancer Society 2022).</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Enhance pre-clinical assets with multiple CAB bispecific and next generation CAB ADC candidates to further address areas of high unmet needs in treating solid tumors.</w:t>
      </w:r>
      <w:r>
        <w:rPr>
          <w:color w:val="000000"/>
        </w:rPr>
        <w:t xml:space="preserve"> </w:t>
      </w:r>
      <w:r>
        <w:rPr>
          <w:rFonts w:ascii="Times New Roman" w:hAnsi="Times New Roman"/>
          <w:color w:val="000000"/>
          <w:sz w:val="18"/>
        </w:rPr>
        <w:t>We have shown in preclinical experiments, including for our Phase 1 clinical asset, BA3182, that our CAB bispecific molecules meet or exceed the activity of conventional bispecifics and reduce systemic activation of potentially fatal immune responses. For example, BA3182 demonstrated in its IND-enabling studies a more than 100-fold improvement in the therapeutic window.</w:t>
      </w:r>
    </w:p>
    <w:p>
      <w:pPr>
        <w:pStyle w:val="TextBody"/>
        <w:bidi w:val="0"/>
        <w:spacing w:before="120" w:after="283"/>
        <w:jc w:val="left"/>
        <w:rPr>
          <w:rFonts w:ascii="Times New Roman" w:hAnsi="Times New Roman"/>
          <w:sz w:val="20"/>
        </w:rPr>
      </w:pPr>
      <w:r>
        <w:rPr>
          <w:rFonts w:ascii="Times New Roman" w:hAnsi="Times New Roman"/>
          <w:color w:val="000000"/>
          <w:sz w:val="18"/>
        </w:rPr>
        <w:t>We believe that our next generation CAB-ADC platform further widens that therapeutic window by enhancing the linker-payload system. Combining our CAB technology with our next generation CAB-ADC platform replaces the traditional peptide linker with a novel sugar-based linker to deliver the MMAE payload. It is expected that this new CAB ADC system will further reduce off-target, off-tumor toxicity and thereby expand the therapeutic window.</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Maintain and strengthen our intellectual property portfolio.</w:t>
      </w:r>
      <w:r>
        <w:rPr>
          <w:color w:val="000000"/>
        </w:rPr>
        <w:t xml:space="preserve"> </w:t>
      </w:r>
      <w:r>
        <w:rPr>
          <w:rFonts w:ascii="Times New Roman" w:hAnsi="Times New Roman"/>
          <w:color w:val="000000"/>
          <w:sz w:val="18"/>
        </w:rPr>
        <w:t>As of February 1, 2024, we had a total of 752 patents and patent applications with 479 issued patents, 13 allowed applications and 260 pending applications covering our CAB technology and product candidates. This broad patent coverage was designed such that protection of our product candidates is not dependent on any single patent but rather, each product candidate provides multiple layers of protection. We plan to continue to maintain, monitor, enforce and defend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 xml:space="preserve">Enter into collaborations to maximize the value of our platform and pipeline. </w:t>
      </w:r>
      <w:r>
        <w:rPr>
          <w:rFonts w:ascii="Times New Roman" w:hAnsi="Times New Roman"/>
          <w:color w:val="000000"/>
          <w:sz w:val="18"/>
        </w:rPr>
        <w:t>Given the potential of our technology to generate novel product candidates addressing a wide variety of solid tumors, we may opportunistically enter into strategic collaborations around specific geographic regions, indications, combinations and companion diagnostics. We may also explore collaboration arrangements to commercialize any product candidates where we believe the resources and expertise of the third party could be beneficial. These collaborations could advance and accelerate our programs to maximize their market potential and expand the worldwide commercial potential of our CAB technology and assets.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Our technology</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Challenges in developing antibody-based therapies for solid tumors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Monoclonal antibody therapeutics have been approved for dozens of therapeutic targets, most commonly cancer. Antibodies have become the backbone of the pharmaceutical industry, which previously relied on small molecules. Treatment with monoclonal antibodies has established itself as one of the most successful therapeutic strategies for both hematologic malignancies and solid tumors. Oncology targets of safe, effective antibodies fall into two broad categories: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Antibodies targeting antigens, usually proteins, preferentially expressed on the surface of cancer cells, against which antibodies are used to directly bind and inhibit or destroy these cells;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Antibodies targeting antigens affecting directly or indirectly tumor cells and non-tumor cells that activate the immune system or induce other changes in the tumor, such as limiting the growth of tumor-related blood vessels.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are significant limitations of targeting important antigens with traditional antibodies that can result in reduced efficacy, difficulties related to dosing, decreased durability, and drug-related toxicities, all of which significantly limit the potential for cures with traditional antibodies: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Increased toxicity</w:t>
      </w:r>
      <w:r>
        <w:rPr>
          <w:rFonts w:ascii="Times New Roman" w:hAnsi="Times New Roman"/>
          <w:color w:val="000000"/>
          <w:sz w:val="18"/>
        </w:rPr>
        <w:t>: Antigens are typically expressed in many normal tissues, which for traditional antibodies, including ADCs, could lead to significant on-target, off-tumor toxicity reducing dosing and durability.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Target-mediated drug disposition limitation</w:t>
      </w:r>
      <w:r>
        <w:rPr>
          <w:rFonts w:ascii="Times New Roman" w:hAnsi="Times New Roman"/>
          <w:color w:val="000000"/>
          <w:sz w:val="18"/>
        </w:rPr>
        <w:t>: Target-mediated drug disposition, or TMDD, is the phenomenon in which a drug binds somewhat indiscriminately to its pharmacological target on normal tissue as well as on the intended diseased tissue, thereby causing the antibody to be depleted more rapidly from circulation. As a consequence, the pharmacokinetic characteristics of the drug can be adversely impacted, leading to reduced half-life, lower tumor exposure, which requires more frequent or higher dosing that increases toxicity and ultimately can result in undesirable side-effects, patient treatment-related inconveniences and greater costs.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Immunogenicity</w:t>
      </w:r>
      <w:r>
        <w:rPr>
          <w:rFonts w:ascii="Times New Roman" w:hAnsi="Times New Roman"/>
          <w:color w:val="000000"/>
          <w:sz w:val="18"/>
        </w:rPr>
        <w:t>: Antibodies also can be sensitive to modifications that can lead to immunogenicity, or a strong negative immune system response from the body, which can induce anti-drug antibodies that can reduce efficacy or lead to severe infusion reactions, thereby restricting the potential improvements that could be made with emerging technologies.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fundamental specificity challenge with traditional monoclonal antibody-based therapy is that there are few known antigens that are specific to tumors and absent in non-cancerous tissues. Drug developers might develop an antibody that is exquisitely specific against its target, but due to the expression of the target on non-tumor cells, systemic administration can result in dose-limiting toxicities from on-target, off-tumor activity.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majority of anticancer antibody-based drug products are consequently limited to a small subset of potential tumor antigens. We believe that our novel approach to increase the selectivity of antibody-based therapeutics while maintaining their potency may have the potential to fundamentally transform the development of anticancer therapeutics and expand the universe of targets for novel antibody-based therapies.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CAB leverages the low pH found in the tumor microenvironment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tumor microenvironment has been widely implicated in tumorigenesis because it harbors cancer cells that interact with surrounding cytokines and cells through the circulatory and lymphatic systems to influence the development and progression of cancer. The tumor microenvironment has conditions distinct from the normal cellular and extracellular environments found in non-cancerous tissue, blood or other parts of a normal body. It has been long appreciated that the extracellular milieu inside and surrounding the growing tumor mass is distinct and unique. One of the most profound physicochemical differences between the tumor microenvironment and normal cellular microenvironment is an increase in lactic acid and an associated decrease in pH in the tumor microenvironment from the normal physiological pH of about 7.4 or higher.</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While the tumor is acidic, some of the most acidic regions of tumors can be observed at the edge of the tumors, just at the interface with the surrounding tissue or blood, according to a paper published in 2019 in the journal Cancer Research. In this study, pH low insertion peptide, or pHLIP, a peptide that is taken up by cells at a pH below 6.5, was injected into human tumor-bearing mice. While nearly all tumor cells took up this peptide, normal tissue cells did not take up this peptide except in the liver and kidney, which was expected in a pH-independent manner in order to be metabolized and excreted. Certain regions within the tumor and in the cells at the edge of tumors took up some of the highest concentration of the probe, indicating that these areas had pH substantially lower than 6.5. These findings are important when considering the design of therapies for solid tumors because they point to the fact that while the overall tumor is acidic, the most accessible and rapidly growing portions of tumors are likely to have some of the lowest pHs.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One reason for the low pH in tumors compared to normal cells is that there are distinct differences in the metabolic processes found in normal and cancer cells. Normal cells generate the energy they need primarily through the oxygen-dependent process called oxidative phosphorylation. In comparison, cancer cells have switched their mechanism of energy production preferentially to the non-oxygen-dependent process known as glycolysis, even in the presence and availability of oxygen. This process switch, known as the Warburg Effect, was first described nearly a century ago and is the basis of modern tumor screening technologies, such as Positron Emission Tomography or PET scanning. The dependence of a tumor cell on glycolysis results in the tumor cell metabolizing up to 200 times more glucose than a healthy cell and causing the secretion of significant levels of lactic acid into the tumor microenvironment. This inherent buildup of lactic acid in the tumor microenvironment has been shown to reduce immune cell function and modulate other defense mechanisms of the body, promoting tumor growth and tumor survival. The presence of lactic acid in the tumor microenvironment causes it to have a distinctly acidic pH of less than 6.8 and even lower at the tumor cell surface, a pH so low that it is rarely found in the body except in organs designed for low pH, such as the stomach, where antibodies in the blood do not access, and in special circumstances, such as cancer. In some cancers, the pH goes as low as 5.8, an extremely low level given the normal, slightly alkaline, pH in the body. The body’s blood holds its pH within a tight range around a pH of 7.4, with normal tissue typically being even more alkaline in the non-cancerous regions of tissues afflicted with cancer.</w:t>
      </w:r>
    </w:p>
    <w:p>
      <w:pPr>
        <w:pStyle w:val="TextBody"/>
        <w:bidi w:val="0"/>
        <w:spacing w:before="216" w:after="283"/>
        <w:jc w:val="left"/>
        <w:rPr>
          <w:rFonts w:ascii="Times New Roman" w:hAnsi="Times New Roman"/>
          <w:sz w:val="20"/>
        </w:rPr>
      </w:pPr>
      <w:r>
        <w:rPr>
          <w:rFonts w:ascii="Times New Roman" w:hAnsi="Times New Roman"/>
          <w:color w:val="000000"/>
          <w:sz w:val="18"/>
        </w:rPr>
        <w:t>Tumors not only have characteristically low pH, which assists them in reducing the body’s immune defenses, along with acidity they also generate other aberrant conditions and secrete other chemicals and proteins into the tumor microenvironment that can stimulate tumor growth,</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promote the development of new blood vessels or angiogenesis, degrade surrounding tissues allowing the tumor to spread or metastasize or actively suppress detection and destruction by the immune system. In view of our preclinical studies and clinical trial results and the substantial supporting scientific literature, we believe that there is an opportunity to develop cancer therapies with improved selectivity for tumors by taking advantage of changes in pH, as do our existing product candidates, as well as in the conditions and levels of temperature, pressure and chemical composition in the tumor microenvironment.</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CAB technology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CABs are based on our patented protein discovery and engineering technology. We invented, developed, and refined this technology, which we believe selectively enables the binding of proteins and antibodies to targeted cells in the tumor microenvironment based on differences in local conditions such as pH, temperature, or chemical composition compared to normal healthy tissue. We have shown that activity of our CAB biologics is reversible; not only are they active due to the low pH levels of the tumor microenvironment, but also, unlike prodrugs, they are reversibly inactive when they leave the tumor microenvironment and are in a normal physiological environment.</w:t>
      </w:r>
    </w:p>
    <w:p>
      <w:pPr>
        <w:pStyle w:val="TextBody"/>
        <w:bidi w:val="0"/>
        <w:spacing w:before="216" w:after="283"/>
        <w:jc w:val="left"/>
        <w:rPr>
          <w:rFonts w:ascii="Times New Roman" w:hAnsi="Times New Roman"/>
          <w:sz w:val="20"/>
        </w:rPr>
      </w:pPr>
      <w:r>
        <w:rPr>
          <w:rFonts w:ascii="Times New Roman" w:hAnsi="Times New Roman"/>
          <w:color w:val="000000"/>
          <w:sz w:val="18"/>
        </w:rPr>
        <w:t>Our CAB technology capitalizes on the well-established Warburg Effect that through a glycolytic process leads to an acidic external tumor microenvironment. Extracellular pH levels in tumors have been measured to be as low as pH 5.8 compared to the tightly controlled, alkaline, pH 7.4 of blood, with even higher pH in healthy tissues. Glycolytic metabolism is also the basis of the established PET scanning technology for detection of cancerous tumors. CAB proteins have increased binding activity as the pH in the microenvironment becomes acidic, while being inactive in normal physiological environments. We discovered a novel chemical switch mechanism that underpins this binding activity that involves physiologically occurring chemicals, such as bicarbonate and hydrogen sulfide. These molecules are negatively charged at physiological conditions and interact with positive charged areas on the protein surface. Under acidic conditions found in the tumor microenvironment, these charged molecules are neutralized by the H+ ions and released from the protein surface, uniquely allowing CAB antibodies to bind to their target and attack the tumor cell. We refer to this novel physiological mechanism, used for generating CABs, as Protein-associated Chemical Switch(es)</w:t>
      </w:r>
      <w:r>
        <w:rPr>
          <w:rFonts w:ascii="Times New Roman" w:hAnsi="Times New Roman"/>
          <w:color w:val="000000"/>
          <w:sz w:val="12"/>
        </w:rPr>
        <w:t>TM</w:t>
      </w:r>
      <w:r>
        <w:rPr>
          <w:rFonts w:ascii="Times New Roman" w:hAnsi="Times New Roman"/>
          <w:color w:val="000000"/>
          <w:sz w:val="20"/>
        </w:rPr>
        <w:t xml:space="preserve"> </w:t>
      </w:r>
      <w:r>
        <w:rPr>
          <w:rFonts w:ascii="Times New Roman" w:hAnsi="Times New Roman"/>
          <w:color w:val="000000"/>
          <w:sz w:val="18"/>
        </w:rPr>
        <w:t>or PaCS</w:t>
      </w:r>
      <w:r>
        <w:rPr>
          <w:rFonts w:ascii="Times New Roman" w:hAnsi="Times New Roman"/>
          <w:color w:val="000000"/>
          <w:sz w:val="12"/>
        </w:rPr>
        <w:t>TM</w:t>
      </w:r>
      <w:r>
        <w:rPr>
          <w:rFonts w:ascii="Times New Roman" w:hAnsi="Times New Roman"/>
          <w:color w:val="000000"/>
          <w:sz w:val="20"/>
        </w:rPr>
        <w:t xml:space="preserve"> </w:t>
      </w:r>
      <w:r>
        <w:rPr>
          <w:rFonts w:ascii="Times New Roman" w:hAnsi="Times New Roman"/>
          <w:color w:val="000000"/>
          <w:sz w:val="18"/>
        </w:rPr>
        <w:t>mechanism. The ability to design conditionally active therapeutics with strong selectivity over narrower pH ranges using the PaCS mechanism, offers the opportunity to greatly enhance both the safety and potency of future therapies for solid tumors.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used and continue to leverage our patented CAB technology to screen antibody candidates for multiple characteristics. By doing so, we can evolve specific regions on the antibody that will only bind in response to environmental conditions, either enhancing or eliminating binding. Our CAB technology allows us to select antibodies that preferentially bind to the target under the conditions of interest, such as high local acidity (i.e. low pH). CAB antibodies have human or humanized antibody sequences, a characteristic that reduces the risk of immunogenicity compared to emerging technologies in the field, which is supported by both our preclinical and clinical data.</w:t>
      </w:r>
    </w:p>
    <w:p>
      <w:pPr>
        <w:pStyle w:val="TextBody"/>
        <w:bidi w:val="0"/>
        <w:spacing w:before="216" w:after="283"/>
        <w:jc w:val="left"/>
        <w:rPr>
          <w:rFonts w:ascii="Times New Roman" w:hAnsi="Times New Roman"/>
          <w:sz w:val="20"/>
        </w:rPr>
      </w:pPr>
      <w:r>
        <w:rPr>
          <w:rFonts w:ascii="Times New Roman" w:hAnsi="Times New Roman"/>
          <w:color w:val="000000"/>
          <w:sz w:val="18"/>
        </w:rPr>
        <w:t xml:space="preserve">Our CAB antibodies have been designed to be active in the acidic, lower pH of the tumor microenvironment and inactive under the alkaline pH of 7.4 and above found in normal physiological conditions. In a quantitative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binding assay, we compared a CAB antibody and a non-CAB antibody that both bind to the target AXL with matched strength of binding to the target, or affinities, when measured at pH 6.0. The binding of the CAB antibody was highly sensitive to pH with binding becoming much weaker as it approached pH 7.0 and almost undetectable at a physiological pH of 7.4. In contrast, a non-CAB antibody to AXL showed indiscriminate and experimentally equivalent binding across the entire pH range tested, including at pH 7.4 of normal cells. Our CAB development process is capable of identifying CAB antibodies with a range of sensitivities to pH.</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Low pH-dependent CAB antibodies are far less likely to bind to targets outside of tumors, resulting in a number of potential advantages over traditional antibodies: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Wide therapeutic window.</w:t>
      </w:r>
      <w:r>
        <w:rPr>
          <w:color w:val="000000"/>
        </w:rPr>
        <w:t xml:space="preserve"> </w:t>
      </w:r>
      <w:r>
        <w:rPr>
          <w:rFonts w:ascii="Times New Roman" w:hAnsi="Times New Roman"/>
          <w:color w:val="000000"/>
          <w:sz w:val="18"/>
        </w:rPr>
        <w:t>Reduced binding to target antigens outside of the tumor has the potential to reduce toxicities that arise from systemic exposure. We believe this may enable higher doses or increased potency to be safely delivered to patients with the potential for increased efficacy.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Opportunity to increase tumor-specific killing.</w:t>
      </w:r>
      <w:r>
        <w:rPr>
          <w:color w:val="000000"/>
        </w:rPr>
        <w:t xml:space="preserve"> </w:t>
      </w:r>
      <w:r>
        <w:rPr>
          <w:rFonts w:ascii="Times New Roman" w:hAnsi="Times New Roman"/>
          <w:color w:val="000000"/>
          <w:sz w:val="18"/>
        </w:rPr>
        <w:t>The wide therapeutic window imparted by tumor-specific targeting enables CAB antibodies to be modified with cytotoxic drugs to create ADCs. Similarly, bispecific antibodies can be developed using CAB antibody domains targeting pairs of targets that direct T cells to attack the tumor, thereby reducing the likelihood of unacceptable normal tissue injury if constructed using traditional antibody domains.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Increased drug exposure to tumors.</w:t>
      </w:r>
      <w:r>
        <w:rPr>
          <w:color w:val="000000"/>
        </w:rPr>
        <w:t xml:space="preserve"> </w:t>
      </w:r>
      <w:r>
        <w:rPr>
          <w:rFonts w:ascii="Times New Roman" w:hAnsi="Times New Roman"/>
          <w:color w:val="000000"/>
          <w:sz w:val="18"/>
        </w:rPr>
        <w:t>Limited binding to targets outside of tumors allows more of the administered CAB antibodies to be available to bind to target sites in the tumor, potentially increasing the concentrations and exposure of these antibodies in tumors.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Improved pharmacokinetics.</w:t>
      </w:r>
      <w:r>
        <w:rPr>
          <w:color w:val="000000"/>
        </w:rPr>
        <w:t xml:space="preserve"> </w:t>
      </w:r>
      <w:r>
        <w:rPr>
          <w:rFonts w:ascii="Times New Roman" w:hAnsi="Times New Roman"/>
          <w:color w:val="000000"/>
          <w:sz w:val="18"/>
        </w:rPr>
        <w:t>Limited binding to targets outside of tumors effectively increases their half-life in plasma. The phenomenon of TMDD, is a well-known limitation facing the development of many biologics which CAB antibodies can significantly reduce.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Broader universe of tumor-specific antigens that can be targeted.</w:t>
      </w:r>
      <w:r>
        <w:rPr>
          <w:color w:val="000000"/>
        </w:rPr>
        <w:t xml:space="preserve"> </w:t>
      </w:r>
      <w:r>
        <w:rPr>
          <w:rFonts w:ascii="Times New Roman" w:hAnsi="Times New Roman"/>
          <w:color w:val="000000"/>
          <w:sz w:val="18"/>
        </w:rPr>
        <w:t>There are few highly prevalent tumor-specific antigens expressed on solid tumors that are not expressed at some level in normal tissues, particularly for solid tumors, which represent approximately 90% of tumor types. While some targets, such as EGFR, can be targeted by traditional antibodies with some acceptable level of toxicity in a subset of patients, many other potential targets cannot. CAB antibodies with pH-dependent binding have the potential to significantly reduce the potential risk of systemic toxicities caused by expression of targets on normal tissues.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developed CAB antibodies through the use of our proprietary technology, which we believe have specificity for tumors, while avoiding binding to the same antigen target expressed on many normal tissues. This allows us to develop therapeutics against targets that are expressed at high levels on tumor cells but are also present on normal cells and tissues, without the toxicities associated with traditional antibodies. While our lead product candidates primarily exploit the differences in pH between the tumor microenvironment and healthy tissue, there is a potential for other yet to be identified PaCS molecules in disease related microenvironments, whether controlled through pH, concentration, or other molecular characteristics (intra- or intermolecularly) for enhancing a drug’s therapeutic index. Potential new therapeutic candidates addressing these opportunities are not limited to antibodies, but may also include small molecules, encompassing lipids, sugars and nucleic acid-based agents or drugs. Further, it is expected that PaCS protein-chemical systems are important naturally occurring regulatory systems linked to a range of disease-related microenvironments, including cancer, inflammation and cellular senescence.</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Programs in clinical development</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Mecbotamab Vedotin (BA3011) targeting AXL</w:t>
      </w:r>
    </w:p>
    <w:p>
      <w:pPr>
        <w:pStyle w:val="TextBody"/>
        <w:bidi w:val="0"/>
        <w:spacing w:before="108" w:after="283"/>
        <w:jc w:val="left"/>
        <w:rPr>
          <w:rFonts w:ascii="Times New Roman" w:hAnsi="Times New Roman"/>
          <w:i/>
          <w:color w:val="000000"/>
          <w:sz w:val="18"/>
          <w:u w:val="single"/>
        </w:rPr>
      </w:pPr>
      <w:r>
        <w:rPr>
          <w:rFonts w:ascii="Times New Roman" w:hAnsi="Times New Roman"/>
          <w:i/>
          <w:color w:val="000000"/>
          <w:sz w:val="18"/>
          <w:u w:val="single"/>
        </w:rPr>
        <w:t>Phase 1 clinical trial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conducted a Phase 1 trial of mecbotamab vedotin in patients with advanced solid tumors, including sarcoma, pancreatic cancer, adenoid cystic carcinoma (ACC), and NSCLC who were refractory or resistant to standard therapies. In the Phase 1 trial, patients were treated with doses of mecbotamab vedotin ranging from 0.3 mg/kg to 3 mg/kg once every three weeks (Q3W) or doses ranging from 1.2 mg/kg to 1.8 mg/kg twice every three weeks on days 1 and 8 (2Q3W).</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main goals of this trial were to evaluate the safety, tolerability, antitumor activity, pharmacokinetics and immunogenicity of mecbotamab vedotin in solid tumor patients. Based upon the overall safety and response rates, the initial recommended Phase 2 dose was determined to be 1.8 mg/kg delivered every two weeks (Q2W).</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the Phase 1 studies, mecbotamab vedotin was generally well-tolerated. Grade 3 or greater adverse events, or AEs, or serious adverse events, or SAEs, deemed related to mecbotamab vedotin were consistent with MMAE-based toxicity and could generally be classified as either reversible myelosuppression (AEs: neutropenia and anemia), transient liver enzyme elevations (AEs: aspartate aminotransferase (“AST”)/ alanine aminotransferase (“ALT”) increased) or metabolic disturbances (AEs: hyperglycemia, hyponatremia, hypokalemia).</w:t>
      </w:r>
    </w:p>
    <w:p>
      <w:pPr>
        <w:pStyle w:val="TextBody"/>
        <w:bidi w:val="0"/>
        <w:spacing w:before="216" w:after="283"/>
        <w:jc w:val="left"/>
        <w:rPr>
          <w:rFonts w:ascii="Times New Roman" w:hAnsi="Times New Roman"/>
          <w:sz w:val="20"/>
        </w:rPr>
      </w:pPr>
      <w:r>
        <w:rPr>
          <w:rFonts w:ascii="Times New Roman" w:hAnsi="Times New Roman"/>
          <w:color w:val="000000"/>
          <w:sz w:val="18"/>
        </w:rPr>
        <w:t>We have not observed adverse events that appear to be related to on-target injury of normal, AXL expressing tissues, i.e., on-target, off-tumor toxicity, consistent with the increase in tumor selectivity from the CAB technology. The estimated half-life of mecbotamab vedotin was approximately four days.</w:t>
      </w:r>
      <w:r>
        <w:rPr>
          <w:rFonts w:ascii="Times New Roman" w:hAnsi="Times New Roman"/>
          <w:color w:val="000000"/>
          <w:sz w:val="20"/>
        </w:rPr>
        <w:t xml:space="preserve"> </w:t>
      </w:r>
    </w:p>
    <w:p>
      <w:pPr>
        <w:pStyle w:val="TextBody"/>
        <w:bidi w:val="0"/>
        <w:spacing w:before="210" w:after="283"/>
        <w:jc w:val="left"/>
        <w:rPr>
          <w:rFonts w:ascii="Times New Roman" w:hAnsi="Times New Roman"/>
          <w:i/>
          <w:color w:val="000000"/>
          <w:sz w:val="18"/>
          <w:u w:val="single"/>
        </w:rPr>
      </w:pPr>
      <w:r>
        <w:rPr>
          <w:rFonts w:ascii="Times New Roman" w:hAnsi="Times New Roman"/>
          <w:i/>
          <w:color w:val="000000"/>
          <w:sz w:val="18"/>
          <w:u w:val="single"/>
        </w:rPr>
        <w:t>Phase 2 Clinical Development</w:t>
      </w:r>
    </w:p>
    <w:p>
      <w:pPr>
        <w:pStyle w:val="TextBody"/>
        <w:bidi w:val="0"/>
        <w:spacing w:before="210" w:after="283"/>
        <w:jc w:val="left"/>
        <w:rPr>
          <w:rFonts w:ascii="Times New Roman" w:hAnsi="Times New Roman"/>
          <w:color w:val="000000"/>
          <w:sz w:val="18"/>
          <w:u w:val="single"/>
        </w:rPr>
      </w:pPr>
      <w:r>
        <w:rPr>
          <w:rFonts w:ascii="Times New Roman" w:hAnsi="Times New Roman"/>
          <w:color w:val="000000"/>
          <w:sz w:val="18"/>
          <w:u w:val="single"/>
        </w:rPr>
        <w:t>UPS Phase 2 trial: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conducting a Phase 2, single-arm, potentially registration-enabling trial with mecbotamab vedotin monotherapy in patients with UPS who have experienced prior treatment failure. We believe UPS represents a critical unmet need and we are exploring accelerated approval options for patients otherwise suffering from uncontrolled sarcoma with few effective treatment options. While it is acknowledged that a randomized confirmatory trial is typically employed to confirm clinical benefit. Given the marked rarity of UPS patients, it may be possible, subject to future agreement with the FDA, to confirm clinical benefit by enrolling additional UPS patients in a prospective clinical trial with the purpose of providing regulators with extended follow-up that adequately characterizes disease control and overall tolerability. A variety of trial options are under consideration to meet anticipated requirements associated with confirmation of clinical benefit.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The open-label, two-part Phase 2 trial evaluates the efficacy and safety of mecbotamab vedotin alone and in combination with an anti-PD-1 agent in adult and adolescent patients, and advanced, refractory measurable sarcoma. Patients received either mecbotamab vedotin alone or in combination with an anti-PD-1 agent. Part 1 antitumor activity has exceeded predefined criteria for advancing trials for UPS, osteosarcoma, liposarcoma, synovial sarcoma, chondrosarcoma, and chordoma. Part 1 of the trial employing the 1.8 mg/kg dose delivered every other week is now fully enrolled, and a clinical update was presented as an oral presentation at the ESMO Sarcoma and Rare Cancers Congress in March 2024.</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 noted above, our ongoing Phase 2, part 2, potentially registrational trial employing the 1.8 mg/kg dose delivered on days 1 and 8 of a three-week cycle (2Q3W) is enrolling patients with locally advanced unresectable or metastatic UPS. Primary endpoints include overall response rate (ORR), AEs, SAEs, and changes from baseline in laboratory parameters and vital signs. Key secondary endpoints include duration of response (DOR), progression-free survival (PFS), best overall response (BOR), disease control rate (DCR), time to response (TTR), progression-free rate (PFR) at 12 weeks, overall survival (OS), and percent change from baseline in tumor size.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Patients must have measurable disease by Response Evaluation Criteria in Solid Tumors (RECIST) Version 1.1. Additionally, patients must have received no more than three prior systemic regimens. Enrolled patients are receiving open-label mecbotamab vedotin treatment.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planned interim analysis will be performed after all patients in Phase 2, part 2 have an opportunity to be followed for at least 12 weeks. Efficacy, safety, and an integrated PK and exposure-response analysis will be performed based on all UPS patients in Phase 1, Phase 2 part 1, and the UPS patients initially enrolled in Phase 2 part 2.</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u w:val="single"/>
        </w:rPr>
      </w:pPr>
      <w:r>
        <w:rPr>
          <w:rFonts w:ascii="Times New Roman" w:hAnsi="Times New Roman"/>
          <w:color w:val="000000"/>
          <w:sz w:val="18"/>
          <w:u w:val="single"/>
        </w:rPr>
        <w:t>NSCLC Phase 2 trial: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This ongoing multi-center, open-label, Phase 2 study is designed to evaluate the efficacy and safety of mecbotamab vedotin alone and in combination with an anti-PD-1 agent in patients with metastatic NSCLC who have measurable disease by RECIST v1.1 criteria. Enrolled patients must have had prior disease progression on a PD-1/L-1 inhibitor. Patients with EGFR or anaplastic lymphoma kinase (ALK) genomic tumor aberration had to have disease progression on FDA-approved therapy for these aberrations. Patients receive either mecbotamab vedotin alone or in combination with an anti-PD-1 agent. Primary endpoints include overall response rate, AEs, SAEs, and changes from baseline in laboratory parameters and vital signs. Key secondary endpoints include DOR, PFS, BOR, DCR, TTR, PFR at 12 weeks, OS, and percent change from baseline in tumor size.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Ozuriftamab Vedotin (BA3021) targeting ROR2</w:t>
      </w:r>
    </w:p>
    <w:p>
      <w:pPr>
        <w:pStyle w:val="TextBody"/>
        <w:bidi w:val="0"/>
        <w:spacing w:before="108" w:after="283"/>
        <w:jc w:val="left"/>
        <w:rPr>
          <w:rFonts w:ascii="Times New Roman" w:hAnsi="Times New Roman"/>
          <w:i/>
          <w:color w:val="000000"/>
          <w:sz w:val="18"/>
          <w:u w:val="single"/>
        </w:rPr>
      </w:pPr>
      <w:r>
        <w:rPr>
          <w:rFonts w:ascii="Times New Roman" w:hAnsi="Times New Roman"/>
          <w:i/>
          <w:color w:val="000000"/>
          <w:sz w:val="18"/>
          <w:u w:val="single"/>
        </w:rPr>
        <w:t>Phase 1/2 clinical trial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 Phase 1/2 single-arm clinical trial of ozuriftamab vedotin monotherapy in patients with locally advanced unresectable or metastatic solid tumors in melanoma is being conducted. Patients were treated with doses of ozuriftamab vedotin ranging from 0.3 mg/kg to 3.3 mg/kg once every three weeks (Q3W) or doses ranging from 1.5 mg/kg to 1.8 mg/kg twice every three weeks on days 1 and 8 (2Q3W). Based upon the overall safety and response rates, the initial recommended Phase 2 dose was determined to be 1.8 mg/kg delivered every two weeks (Q2W).</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the Phase 1 component of the trial, treatment with ozuriftamab vedotin resulted in multiple responders in patients with treatment-refractory solid tumors, including melanoma, NSCLC, and head and neck cancer. All of these patients had previously progressed following PD-1 therapy.</w:t>
      </w:r>
    </w:p>
    <w:p>
      <w:pPr>
        <w:pStyle w:val="TextBody"/>
        <w:bidi w:val="0"/>
        <w:spacing w:before="216" w:after="283"/>
        <w:jc w:val="left"/>
        <w:rPr>
          <w:rFonts w:ascii="Times New Roman" w:hAnsi="Times New Roman"/>
          <w:sz w:val="20"/>
        </w:rPr>
      </w:pPr>
      <w:r>
        <w:rPr>
          <w:rFonts w:ascii="Times New Roman" w:hAnsi="Times New Roman"/>
          <w:color w:val="000000"/>
          <w:sz w:val="18"/>
        </w:rPr>
        <w:t>Similar to mecbotamab vedotin, ozuriftamab vedotin continues to be generally well-tolerated. We have not observed adverse events that appear to be related to on-target injury of normal, ROR2-expressing tissues. We believe that reported toxicities were consistent with off-target effects of free MMAE consistent with those described with other marketed MMAE-based ADCs.</w:t>
        <w:br/>
      </w:r>
      <w:r>
        <w:rPr>
          <w:rFonts w:ascii="Times New Roman" w:hAnsi="Times New Roman"/>
          <w:color w:val="000000"/>
          <w:sz w:val="20"/>
        </w:rPr>
        <w:t>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the Phase 1 trial, the Grade 3 or greater AEs or SAEs deemed related to ozuriftamab vedotin were consistent with MMAE-based toxicity and could generally be classified as either reversible myelosuppression (AEs: neutropenia, anemia), transient liver enzyme elevations (AEs: AST/ALT increased) or metabolic disturbances (AEs: hyperglycemia, hyponatremia, hypokalemia).</w:t>
      </w:r>
    </w:p>
    <w:p>
      <w:pPr>
        <w:pStyle w:val="TextBody"/>
        <w:bidi w:val="0"/>
        <w:spacing w:before="324" w:after="283"/>
        <w:jc w:val="left"/>
        <w:rPr>
          <w:rFonts w:ascii="Times New Roman" w:hAnsi="Times New Roman"/>
          <w:color w:val="000000"/>
          <w:sz w:val="18"/>
          <w:u w:val="single"/>
        </w:rPr>
      </w:pPr>
      <w:r>
        <w:rPr>
          <w:rFonts w:ascii="Times New Roman" w:hAnsi="Times New Roman"/>
          <w:color w:val="000000"/>
          <w:sz w:val="18"/>
          <w:u w:val="single"/>
        </w:rPr>
        <w:t>Phase 2 Clinical Development</w:t>
      </w:r>
    </w:p>
    <w:p>
      <w:pPr>
        <w:pStyle w:val="TextBody"/>
        <w:bidi w:val="0"/>
        <w:spacing w:before="108" w:after="283"/>
        <w:jc w:val="left"/>
        <w:rPr>
          <w:rFonts w:ascii="Times New Roman" w:hAnsi="Times New Roman"/>
          <w:sz w:val="20"/>
        </w:rPr>
      </w:pPr>
      <w:r>
        <w:rPr>
          <w:rFonts w:ascii="Times New Roman" w:hAnsi="Times New Roman"/>
          <w:color w:val="000000"/>
          <w:sz w:val="18"/>
        </w:rPr>
        <w:t>A Phase 2 open-label trial to evaluate the efficacy and safety of ozuriftamab vedotin alone and in combination with an anti-PD-1 agent in patients who have experienced prior disease progression on a PD-1/L1 inhibitor is ongoing in melanoma who have measurable disease. Primary endpoints include ORR, AEs, SAEs, and changes from baseline in laboratory parameters and vital signs. Key secondary endpoints include DOR, PFS, BOR, DCR, TTR, PFR at 12 weeks, OS, and percent change from baseline in tumor size.</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also completed enrollment for a Phase 2 clinical trial of ozuriftamab vedotin as monotherapy in SCCHN using 1.8mg/kg with either Q2W or 2Q3 dosing. Primary endpoints include overall response rate, AEs, SAEs, and changes from baseline in laboratory parameters and vital signs. Key secondary endpoints include DOR, PFS, BOR, DCR, TTR, PFR at 12 weeks, OS, and percent change from baseline in tumor size.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Evalstotug (BA3071) targeting CTLA4</w:t>
      </w:r>
    </w:p>
    <w:p>
      <w:pPr>
        <w:pStyle w:val="TextBody"/>
        <w:bidi w:val="0"/>
        <w:spacing w:before="108" w:after="283"/>
        <w:jc w:val="left"/>
        <w:rPr>
          <w:rFonts w:ascii="Times New Roman" w:hAnsi="Times New Roman"/>
          <w:sz w:val="20"/>
        </w:rPr>
      </w:pPr>
      <w:r>
        <w:rPr>
          <w:rFonts w:ascii="Times New Roman" w:hAnsi="Times New Roman"/>
          <w:color w:val="000000"/>
          <w:sz w:val="18"/>
        </w:rPr>
        <w:t>The Phase 1 dose-escalation trial of evalstotug in advanced solid tumor patients continues enrollment in the dose-escalation portion of the trial. We are evaluating the safety and tolerability of evalstotug at doses ranging from 7mg Q3W to 1000mg Q3W as monotherapy and in combination with an anti-PD-1 antibody. A Phase 2 open-label trial to evaluate the efficacy and safety of evalstotug alone and in combination with an anti-PD-1 agent, and also in combination with chemotherapy for 1</w:t>
      </w:r>
      <w:r>
        <w:rPr>
          <w:rFonts w:ascii="Times New Roman" w:hAnsi="Times New Roman"/>
          <w:color w:val="000000"/>
          <w:sz w:val="12"/>
        </w:rPr>
        <w:t>st</w:t>
      </w:r>
      <w:r>
        <w:rPr>
          <w:rFonts w:ascii="Times New Roman" w:hAnsi="Times New Roman"/>
          <w:color w:val="000000"/>
          <w:sz w:val="20"/>
        </w:rPr>
        <w:t xml:space="preserve"> </w:t>
      </w:r>
      <w:r>
        <w:rPr>
          <w:rFonts w:ascii="Times New Roman" w:hAnsi="Times New Roman"/>
          <w:color w:val="000000"/>
          <w:sz w:val="18"/>
        </w:rPr>
        <w:t>Line NSCLC, in patients who have treatment-refractory melanoma and carcinoma and who have treatment-naïve metastatic melanoma and NSCLC is underway. To date, we have observed limited adverse events of Grade 3 or higher in our Phase 1 study at 350mg in combination with PD-1 suggesting an improved safety profile for evalstotug. Prior to seeking accelerated approval for any proposed indication, we will seek feedback from the FDA and evaluate our ability to obtain accelerated approval. If acceptable, we plan to submit our proposed confirmatory trial design for FDA feedback and commence enrollment prior to our Biologics License Application (“BLA”) submission.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BA3182 (CAB-EpCAM x CAB-CD3)</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conducting a Phase 1 study designed to evaluate the safety, tolerability, pharmacokinetics, immunogenicity, and antitumor activity of BA3182, a conditionally active biologic (CAB)-bispecific T-cell engager antibody construct targeting EpCAM in patients with advanced adenocarcinoma.</w:t>
      </w:r>
    </w:p>
    <w:p>
      <w:pPr>
        <w:pStyle w:val="TextBody"/>
        <w:bidi w:val="0"/>
        <w:spacing w:before="108" w:after="283"/>
        <w:jc w:val="left"/>
        <w:rPr>
          <w:rFonts w:ascii="Times New Roman" w:hAnsi="Times New Roman"/>
          <w:sz w:val="20"/>
        </w:rPr>
      </w:pPr>
      <w:r>
        <w:rPr>
          <w:rFonts w:ascii="Times New Roman" w:hAnsi="Times New Roman"/>
          <w:color w:val="000000"/>
          <w:sz w:val="18"/>
        </w:rPr>
        <w:t>BA3182 is designed with an EpCAM binding domain and a CD3 binding domain, both binding domains with CAB activity (Dual-CAB). In our preclinical studies, we showed that a dosage of 1mg per kilogram of this construct twice per week in mice, which is roughly equivalent to</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0.25 mg per kilogram in non-human primates, had a potent antitumor activity in a HCT116, a human colorectal carcinoma cell line, xenograft model in mice with a humanized immune system.</w:t>
      </w:r>
    </w:p>
    <w:p>
      <w:pPr>
        <w:pStyle w:val="TextBody"/>
        <w:bidi w:val="0"/>
        <w:spacing w:before="108" w:after="283"/>
        <w:jc w:val="center"/>
        <w:rPr/>
      </w:pPr>
      <w:r>
        <w:rPr/>
        <w:drawing>
          <wp:inline distT="0" distB="0" distL="0" distR="0">
            <wp:extent cx="4048125" cy="2647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048125" cy="2647950"/>
                    </a:xfrm>
                    <a:prstGeom prst="rect">
                      <a:avLst/>
                    </a:prstGeom>
                  </pic:spPr>
                </pic:pic>
              </a:graphicData>
            </a:graphic>
          </wp:inline>
        </w:drawing>
      </w:r>
      <w:r>
        <w:rPr/>
        <w:t> </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Preclinical safety findings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While there was no observable difference in antitumor efficacy between antibodies with CAB domains and those with conventional non-CAB antigen-binding domains, a conventional EpCAM x CD3 bispecific antibody led to a much higher level of undesirable systemic immune activation than the CAB-EpCAM x CAB-CD3 (BA3182) bispecific antibody in non-human primates.</w:t>
      </w:r>
    </w:p>
    <w:p>
      <w:pPr>
        <w:pStyle w:val="TextBody"/>
        <w:bidi w:val="0"/>
        <w:spacing w:before="324" w:after="283"/>
        <w:jc w:val="left"/>
        <w:rPr>
          <w:rFonts w:ascii="Times New Roman" w:hAnsi="Times New Roman"/>
          <w:b/>
          <w:color w:val="000000"/>
          <w:sz w:val="18"/>
          <w:u w:val="single"/>
        </w:rPr>
      </w:pPr>
      <w:r>
        <w:rPr>
          <w:rFonts w:ascii="Times New Roman" w:hAnsi="Times New Roman"/>
          <w:b/>
          <w:color w:val="000000"/>
          <w:sz w:val="18"/>
          <w:u w:val="single"/>
        </w:rPr>
        <w:t>Preclinical candidates</w:t>
      </w:r>
    </w:p>
    <w:p>
      <w:pPr>
        <w:pStyle w:val="TextBody"/>
        <w:bidi w:val="0"/>
        <w:spacing w:before="108" w:after="283"/>
        <w:jc w:val="left"/>
        <w:rPr>
          <w:rFonts w:ascii="Times New Roman" w:hAnsi="Times New Roman"/>
          <w:i/>
          <w:color w:val="000000"/>
          <w:sz w:val="18"/>
        </w:rPr>
      </w:pPr>
      <w:r>
        <w:rPr>
          <w:rFonts w:ascii="Times New Roman" w:hAnsi="Times New Roman"/>
          <w:i/>
          <w:color w:val="000000"/>
          <w:sz w:val="18"/>
        </w:rPr>
        <w:t>BA3361 (CAB-Nectin-4-ADC)</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Nectin-4 is widely expressed and has adhesive roles in normal tissues. The CAB selectivity to target Nectin-4 in the tumor microenvironment is critical in providing the necessary safety to deliver the drug conjugate selectively to cancerous tissue. A clinical candidate was selected from a set of lead molecules that were characterized by multiple assays including functional assays. In addition to the assay performance, the lead candidate demonstrated high binding under tumor conditions and little to no binding under normal physiological conditions. We plan to submit an IND for BA3361 in 2024.</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BA3151 (CAB-B7-H4-ADC)</w:t>
      </w:r>
    </w:p>
    <w:p>
      <w:pPr>
        <w:pStyle w:val="TextBody"/>
        <w:bidi w:val="0"/>
        <w:spacing w:before="108" w:after="283"/>
        <w:jc w:val="left"/>
        <w:rPr>
          <w:rFonts w:ascii="Times New Roman" w:hAnsi="Times New Roman"/>
          <w:sz w:val="20"/>
        </w:rPr>
      </w:pPr>
      <w:r>
        <w:rPr>
          <w:rFonts w:ascii="Times New Roman" w:hAnsi="Times New Roman"/>
          <w:color w:val="000000"/>
          <w:sz w:val="18"/>
        </w:rPr>
        <w:t xml:space="preserve">B7-H4 is highly expressed on numerous tumor tissues and the expression level directly correlates with adverse clinical and pathological features. A set of lead molecules were characterized </w:t>
      </w:r>
      <w:r>
        <w:rPr>
          <w:rFonts w:ascii="Times New Roman" w:hAnsi="Times New Roman"/>
          <w:i/>
          <w:color w:val="000000"/>
          <w:sz w:val="18"/>
        </w:rPr>
        <w:t xml:space="preserve">in vitro </w:t>
      </w:r>
      <w:r>
        <w:rPr>
          <w:rFonts w:ascii="Times New Roman" w:hAnsi="Times New Roman"/>
          <w:color w:val="000000"/>
          <w:sz w:val="18"/>
        </w:rPr>
        <w:t xml:space="preserve">including functional assays and </w:t>
      </w:r>
      <w:r>
        <w:rPr>
          <w:rFonts w:ascii="Times New Roman" w:hAnsi="Times New Roman"/>
          <w:i/>
          <w:color w:val="000000"/>
          <w:sz w:val="18"/>
        </w:rPr>
        <w:t>in vivo</w:t>
      </w:r>
      <w:r>
        <w:rPr>
          <w:rFonts w:ascii="Times New Roman" w:hAnsi="Times New Roman"/>
          <w:color w:val="000000"/>
          <w:sz w:val="20"/>
        </w:rPr>
        <w:t xml:space="preserve"> </w:t>
      </w:r>
      <w:r>
        <w:rPr>
          <w:rFonts w:ascii="Times New Roman" w:hAnsi="Times New Roman"/>
          <w:color w:val="000000"/>
          <w:sz w:val="18"/>
        </w:rPr>
        <w:t>efficacy models. Selection of the lead candidate was based on criteria including high binding activity under tumor conditions and low binding activity under normal physiological conditions.</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BA3142 (CAB-B7-H3 x CAB-CD3)</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believe that our CAB technology opens up the opportunity for the creation of a broad set of bispecific product candidates with antitumor potential. Through these CAB bispecific antibodies, we believe we can activate T cells directly in tumors using CAB domains targeting tumor-specific antigens. We believe our CAB bispecific antibodies may allow for increased efficacy through more potent T cell activation, higher doses or administration in combination with other immuno-oncology therapies, such as checkpoint inhibitors. We have shown in preclinical experiments that our CAB bispecific molecules meet or exceed the activity of conventional bispecifics and reduce systemic activation of potentially fatal immune responses. In February 2023 we received from the FDA clearance of our IND application to evaluate our CAB bispecific antibody product candidate BA3182, which is now part of an ongoing Phase 1/2 clinical study.</w:t>
      </w:r>
    </w:p>
    <w:p>
      <w:pPr>
        <w:pStyle w:val="TextBody"/>
        <w:bidi w:val="0"/>
        <w:spacing w:before="108" w:after="283"/>
        <w:jc w:val="left"/>
        <w:rPr>
          <w:rFonts w:ascii="Times New Roman" w:hAnsi="Times New Roman"/>
          <w:sz w:val="20"/>
        </w:rPr>
      </w:pPr>
      <w:r>
        <w:rPr>
          <w:rFonts w:ascii="Times New Roman" w:hAnsi="Times New Roman"/>
          <w:color w:val="000000"/>
          <w:sz w:val="18"/>
        </w:rPr>
        <w:t xml:space="preserve">Our second bispecific product candidate, BA3142, is a dual-CAB T-cell engager targeting B7-H3, a protein expressed on many solid tumors. The lead molecule was characterized by multiple assays including functional assays, and by efficacy studies in a xenograft model of human pharyngeal cancer using mice with a humanized immune system. The lead molecule showed antitumor activity comparable to a non-CAB antibody, while demonstrating lower binding and functional activity under physiological conditions, as expected for a CAB bispecific antibody. Cell line development and </w:t>
      </w:r>
      <w:r>
        <w:rPr>
          <w:rFonts w:ascii="Times New Roman" w:hAnsi="Times New Roman"/>
          <w:i/>
          <w:color w:val="000000"/>
          <w:sz w:val="18"/>
        </w:rPr>
        <w:t>in vivo</w:t>
      </w:r>
      <w:r>
        <w:rPr>
          <w:rFonts w:ascii="Times New Roman" w:hAnsi="Times New Roman"/>
          <w:color w:val="000000"/>
          <w:sz w:val="20"/>
        </w:rPr>
        <w:t xml:space="preserve"> </w:t>
      </w:r>
      <w:r>
        <w:rPr>
          <w:rFonts w:ascii="Times New Roman" w:hAnsi="Times New Roman"/>
          <w:color w:val="000000"/>
          <w:sz w:val="18"/>
        </w:rPr>
        <w:t>efficacy study are completed.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CAB-EGFR bispecific programs</w:t>
      </w:r>
    </w:p>
    <w:p>
      <w:pPr>
        <w:pStyle w:val="TextBody"/>
        <w:bidi w:val="0"/>
        <w:spacing w:before="108" w:after="283"/>
        <w:jc w:val="left"/>
        <w:rPr>
          <w:rFonts w:ascii="Times New Roman" w:hAnsi="Times New Roman"/>
          <w:sz w:val="20"/>
        </w:rPr>
      </w:pPr>
      <w:r>
        <w:rPr>
          <w:rFonts w:ascii="Times New Roman" w:hAnsi="Times New Roman"/>
          <w:color w:val="000000"/>
          <w:sz w:val="18"/>
        </w:rPr>
        <w:t>Targeting EGFR with a CAB bispecific antibody is expected to provide benefit since the target is widely expressed in healthy tissue, such as skin, which would otherwise result in on-target, off-tumor toxicity if targeted by a non-CAB antibody. A set of lead molecules were characterized by multiple assays including functional assays and all demonstrated high activity at acidic pH with little to no activity under physiological conditions. Two molecules are in development: a mono-CAB (EGFR x CAB-CD3) and a dual-CAB (CAB-EGFR x CAB-CD3).</w:t>
      </w:r>
      <w:r>
        <w:rPr>
          <w:rFonts w:ascii="Times New Roman" w:hAnsi="Times New Roman"/>
          <w:color w:val="000000"/>
          <w:sz w:val="20"/>
        </w:rPr>
        <w:t xml:space="preserve"> </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BA3362 (CAB-Nectin 4 x CAB-CD3)</w:t>
      </w:r>
    </w:p>
    <w:p>
      <w:pPr>
        <w:pStyle w:val="TextBody"/>
        <w:bidi w:val="0"/>
        <w:spacing w:before="108" w:after="283"/>
        <w:jc w:val="left"/>
        <w:rPr>
          <w:rFonts w:ascii="Times New Roman" w:hAnsi="Times New Roman"/>
          <w:sz w:val="20"/>
        </w:rPr>
      </w:pPr>
      <w:r>
        <w:rPr>
          <w:rFonts w:ascii="Times New Roman" w:hAnsi="Times New Roman"/>
          <w:color w:val="000000"/>
          <w:sz w:val="18"/>
        </w:rPr>
        <w:t xml:space="preserve">BA3362 is a dual CAB bispecific product candidate. The cell line development and </w:t>
      </w:r>
      <w:r>
        <w:rPr>
          <w:rFonts w:ascii="Times New Roman" w:hAnsi="Times New Roman"/>
          <w:i/>
          <w:color w:val="000000"/>
          <w:sz w:val="18"/>
        </w:rPr>
        <w:t>in vivo</w:t>
      </w:r>
      <w:r>
        <w:rPr>
          <w:rFonts w:ascii="Times New Roman" w:hAnsi="Times New Roman"/>
          <w:color w:val="000000"/>
          <w:sz w:val="20"/>
        </w:rPr>
        <w:t xml:space="preserve"> </w:t>
      </w:r>
      <w:r>
        <w:rPr>
          <w:rFonts w:ascii="Times New Roman" w:hAnsi="Times New Roman"/>
          <w:color w:val="000000"/>
          <w:sz w:val="18"/>
        </w:rPr>
        <w:t>efficacy study are completed. Non-GLP toxicology study in cynomolgus monkeys is in progress.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Competition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biotechnology and biopharmaceutical industries, including the oncology subsector, are characterized by rapid evolution of technologies, competition and strong defense of intellectual property. Any product candidates that we successfully develop and commercialize may have to compete with existing therapies and new therapies that may become available in the future. While we believe that our patented technology platform, intellectual property, know-how and scientific expertise in the field of biologics and immuno-oncology provide us with certain competitive advantages, including the ability of our product candidates to be active under conditions representative of the tumor microenvironment and not in normal cell conditions, we face potential competition from a wide variety of institutions, including large biopharmaceutical companies, specialty biotechnology companies, academic research departments and public and private research institutions. In immuno-oncology, we face substantial competition in the form of competing approaches to targeted antibody therapy in general, as well as competing treatments for the same types of cancer that we would plan to address with our pipeline of product candidates.</w:t>
      </w:r>
    </w:p>
    <w:p>
      <w:pPr>
        <w:pStyle w:val="TextBody"/>
        <w:bidi w:val="0"/>
        <w:spacing w:before="216" w:after="283"/>
        <w:jc w:val="left"/>
        <w:rPr>
          <w:rFonts w:ascii="Times New Roman" w:hAnsi="Times New Roman"/>
          <w:sz w:val="20"/>
        </w:rPr>
      </w:pPr>
      <w:r>
        <w:rPr>
          <w:rFonts w:ascii="Times New Roman" w:hAnsi="Times New Roman"/>
          <w:color w:val="000000"/>
          <w:sz w:val="18"/>
        </w:rPr>
        <w:t>There are several companies in various stages of clinical development of ADCs, one of the key features of our product candidates mecbotamab vedotin and ozuriftamab vedotin. Currently, there are multiple approved ADCs and many more in clinical development, the vast majority of which are being developed for the treatment of cancer. Certain other companies are also pursuing antibody therapies in immuno-oncology. Although we do not believe competing companies have selective CAB technology, there is a wide array of activity in multiple areas of immune-based cellular therapies for oncology.</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if any of our product candidates are approved in oncology indications such as pancreatic, breast and other cancers, they may compete with existing biologics and small molecule therapies, or may be used in combination with existing therapies. There are also many other therapies under development that are intended to treat the same cancers that we are targeting or, although yet to be identified, may target with our CAB technology platform, including through approaches that could prove to be more effective, have fewer side effects, be cheaper to manufacture, be more convenient to administer or have other advantages over any products resulting from our technology.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Many of our competitors, either alone or with strategic partners, have substantially greater financial resources and expertise in research and development, manufacturing, preclinical testing, conducting clinical trials, obtaining regulatory approvals and marketing approved products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Manufacturing</w:t>
      </w:r>
    </w:p>
    <w:p>
      <w:pPr>
        <w:pStyle w:val="TextBody"/>
        <w:bidi w:val="0"/>
        <w:spacing w:before="108" w:after="283"/>
        <w:jc w:val="left"/>
        <w:rPr>
          <w:rFonts w:ascii="Times New Roman" w:hAnsi="Times New Roman"/>
          <w:sz w:val="20"/>
        </w:rPr>
      </w:pPr>
      <w:r>
        <w:rPr>
          <w:rFonts w:ascii="Times New Roman" w:hAnsi="Times New Roman"/>
          <w:color w:val="000000"/>
          <w:sz w:val="18"/>
        </w:rPr>
        <w:t>Our CAB antibodies are designed and produced using our patented Comprehensive Integrated Antibody Optimization</w:t>
      </w:r>
      <w:r>
        <w:rPr>
          <w:rFonts w:ascii="Times New Roman" w:hAnsi="Times New Roman"/>
          <w:color w:val="000000"/>
          <w:sz w:val="12"/>
        </w:rPr>
        <w:t>TM</w:t>
      </w:r>
      <w:r>
        <w:rPr>
          <w:rFonts w:ascii="Times New Roman" w:hAnsi="Times New Roman"/>
          <w:color w:val="000000"/>
          <w:sz w:val="18"/>
        </w:rPr>
        <w:t>, or CIAO!</w:t>
      </w:r>
      <w:r>
        <w:rPr>
          <w:rFonts w:ascii="Times New Roman" w:hAnsi="Times New Roman"/>
          <w:color w:val="000000"/>
          <w:sz w:val="12"/>
        </w:rPr>
        <w:t>TM</w:t>
      </w:r>
      <w:r>
        <w:rPr>
          <w:rFonts w:ascii="Times New Roman" w:hAnsi="Times New Roman"/>
          <w:color w:val="000000"/>
          <w:sz w:val="18"/>
        </w:rPr>
        <w:t>, technology. The successful evolution, design, and development of a CAB antibody with specific characteristics and qualities require that the development and manufacturing processes result in the CAB antibody with the desired properties. We have developed our patented process of CIAO! that integrates into the design process the critical features for subsequent development steps and manufacturing. A key element of the CIAO! process is that all design and development of the antibody is conducted in a mammalian cell line such as Chinese hamster ovary. This host cell is essentially identical to that used for manufacturing the majority of antibodies. This integrated and efficient approach is designed to provide consistency of the folding, glycosylation and other critical features throughout the development and commercialization process for improved activity, selectivity and yields in manufacturing.</w:t>
      </w:r>
    </w:p>
    <w:p>
      <w:pPr>
        <w:pStyle w:val="TextBody"/>
        <w:bidi w:val="0"/>
        <w:spacing w:before="216" w:after="283"/>
        <w:jc w:val="left"/>
        <w:rPr>
          <w:rFonts w:ascii="Times New Roman" w:hAnsi="Times New Roman"/>
          <w:sz w:val="20"/>
        </w:rPr>
      </w:pPr>
      <w:r>
        <w:rPr>
          <w:rFonts w:ascii="Times New Roman" w:hAnsi="Times New Roman"/>
          <w:color w:val="000000"/>
          <w:sz w:val="18"/>
        </w:rPr>
        <w:t>We currently do not own or operate any manufacturing facilities. We rely, and expect to continue to rely for the foreseeable future, on third-party contract manufacturing organizations to produce our product candidates for preclinical and clinical testing, as well as for commercial manufacture if our product candidates receive marketing approval. We also expect to rely on third parties for the design, development and manufacture of companion diagnostic tests for our product candidates that require such tests. Furthermore, the raw materials for our product candidates may be sourced, in some cases, from a single-source supplier. As part of the manufacture and design process for our product</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candidates, we rely on internal, scientific and manufacturing know-how and trade secrets and the know-how and trade secrets of third-party manufacturers. We also contract with additional third parties for the filling, labeling, packaging, storage and distribution of investigational drug products.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 We maintain agreements with our manufacturers that include confidentiality and intellectual property provisions to protect our proprietary rights related to our product candidates. We have personnel with significant technical, manufacturing, analytical, quality, including current good manufacturing practices, or cGMPs, and project management experience to oversee our third-party manufacturers and to manage manufacturing and quality data and information for regulatory compliance purposes.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Collaborations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intend to selectively enter into collaborations with preclinical and/or clinical assets, particularly where potential collaborators can both accelerate and maximize a therapeutic's market potential.</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License Agreements and Strategic Collaborations</w:t>
      </w:r>
    </w:p>
    <w:p>
      <w:pPr>
        <w:pStyle w:val="TextBody"/>
        <w:bidi w:val="0"/>
        <w:spacing w:before="172" w:after="283"/>
        <w:jc w:val="left"/>
        <w:rPr>
          <w:rFonts w:ascii="Times New Roman" w:hAnsi="Times New Roman"/>
          <w:b/>
          <w:i/>
          <w:color w:val="000000"/>
          <w:sz w:val="18"/>
        </w:rPr>
      </w:pPr>
      <w:r>
        <w:rPr>
          <w:rFonts w:ascii="Times New Roman" w:hAnsi="Times New Roman"/>
          <w:b/>
          <w:i/>
          <w:color w:val="000000"/>
          <w:sz w:val="18"/>
        </w:rPr>
        <w:t>Collaboration and Supply Agreement with Bristol-Myers Squibb</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On January 5, 2022, we and Bristol-Myers Squibb Company (“BMS”) entered into a clinical trial collaboration and supply agreement (the “BMS Agreement”). Under the terms of the BMS Agreement, BioAtla and BMS will collaborate on clinical trials of separate combination therapies using two of BioAtla’s CAB ADCs, mecbotamab vedotin (BA3011) and ozuriftamab vedotin (BA3021), each in combination with Opdivo® (nivolumab), BMS’ proprietary anti-PD-1 monoclonal antibody product. We serve as the study sponsor of the scheduled studies and are responsible for costs associated with the trial execution. BMS provides Opdivo® clinical drug supply at no cost for the combination study trials. After the completion of the combination therapy trials, we are obligated to provide BMS with a final report of the data resulting from the trial. The BMS agreement was amended in October 2022 to include additional territories for our combination study trials for mecbotamab vedotin and ozuriftamab vedotin.</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Global Co-Development and Collaboration Agreement with BeiGene, Ltd.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April 2019, we entered into a Global Co-Development and Collaboration Agreement with BeiGene, Ltd. which, as amended in December 2019 and October 2020, provided for the development, manufacturing and commercialization of BioAtla’s investigational CAB CTLA-4 antibody, evalstotug (BA3071). Under the terms of our BeiGene collaboration, BeiGene was generally responsible for developing evalstotug and for global regulatory filings and commercialization. We received a total of $25 million in payments from BeiGene.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November 19, 2021, we entered into Amendment No. 3 to the Global Co-Development and Collaboration Agreement (“Amendment No. 3”). Under Amendment No. 3, the collaboration agreement was terminated, subject to survival of certain provisions, and BeiGene handed back rights to certain know-how and materials received under the collaboration agreement and we assumed responsibility for the development and commercialization of evalstotug, in addition to other standard provisions. As consideration for Amendment No. 3, we agreed to pay BeiGene mid-single digit royalties on sales worldwide and on a limited basis will share in any upfront and milestone payments received through a sublicense of evalstotug.</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Amended and Restated Exclusive Rights Agreement with Himalaya Therapeutics SEZC</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January 2020, we entered into an Amended and Restated Exclusive Rights Agreement with Himalaya Therapeutics SEZC. Under the terms of the agreement, we granted Himalaya Therapeutics SEZC an exclusive, sublicensable license under certain patents and know-how controlled by us to develop, manufacture, conduct clinical trials, obtain regulatory approval of and commercialize 10 CAB-antibodies for the territory of the People's Republic of China, Macao, Hong Kong and Taiwan and a CAB-HER2-bispecific-antibody worldwide, in each case in the field of the treatment of cancer in humans. We also granted Himalaya Therapeutics SEZC an exclusive, sublicensable license under certain patents and know-how controlled by us to develop, manufacture, conduct clinical trials, obtain regulatory approval of and commercialize an IL-22 non-CAB-antibody worldwide, which option rights are subject to certain co-development plans in the agreement for the joint development and commercialization of the IL-22 non-CAB-antibody by Himalaya Therapeutics SEZC and us. The term of the agreement continues unless terminated by mutual written consent of the parties and also contains customary provisions for termination by either party. Payments to us may include upfront payments, milestone payments and royalties equal to the lower of (i) the low teens of annual net sales and (ii) the mid-twenties of the royalties and other comparable payments received by Himalaya Therapeutics SEZC from third parties, which represent a variable interest held by us, but no payments have been made to date. The royalty term, on a product-by-product and country-by-country basis, is the period of time commencing on the first commercial sale of such product in such country and expiring upon the latest of (i) the expiration of the last valid claim in a patent covering the composition of matter or method of use for such product licensed under the agreement in such country, (ii) the expiration of any other exclusivity protection of such licensed product in such country, and (iii) the 15th anniversary of the date of first commercial sale of such product in such country. We are eligible to receive up to $77.5 million in upfront payments and potential milestones.</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Intellectual property</w:t>
      </w:r>
    </w:p>
    <w:p>
      <w:pPr>
        <w:pStyle w:val="TextBody"/>
        <w:bidi w:val="0"/>
        <w:spacing w:before="108" w:after="283"/>
        <w:jc w:val="left"/>
        <w:rPr>
          <w:rFonts w:ascii="Times New Roman" w:hAnsi="Times New Roman"/>
          <w:sz w:val="20"/>
        </w:rPr>
      </w:pPr>
      <w:r>
        <w:rPr>
          <w:rFonts w:ascii="Times New Roman" w:hAnsi="Times New Roman"/>
          <w:color w:val="000000"/>
          <w:sz w:val="18"/>
        </w:rPr>
        <w:t>Since inception, we have recognized the value of strong, defensible and relevant intellectual property protection. We seek to protect our technologies and products and the potential market for such technologies and products. To accomplish this goal, we apply for patents covering our processes and compositions. We also apply for patents covering developments and technologies for purpose of preventing third parties from developing competing products. Inventions related to various aspects of our core technologies have already been protected by issued and pending</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patent applications. As of February 1, 2024, we had 752 patents and patent applications with 479 issued patents, 13 allowed applications, and 260 pending applications.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recognize that the ability to obtain patent protection and the degree of such protection depends on a number of factors, including the extent of the prior art, the novelty of the invention, the obviousness of the invention and the ability to satisfy the enablement and written description requirements of the patent laws. We file all relevant types of patent applications to protect our intellectual property, including patent applications with claims directed to our processes and products, and applications and uses thereof.</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file our applications with the U.S. Patent and Trademark Office (the “USPTO”) to establish a priority filing date. Generally, we initially file provisional applications. Provisional applications are designed to provide a lower-cost first patent application filing in the United States. Corresponding non-provisional patent applications must be filed not later than 12 months after the filing date of the first provisional application filed for an invention. In some cases, multiple provisional applications have been filed within a 12-month period to capture incremental developments within the 12-month priority period while obtaining an early filing date for each development. The corresponding non-provisional patent applications benefit from the provisional applications(s) since the priority date(s) of these non-provisional patent applications is/are the earlier provisional application filing date(s), and because the patent term of the finally issued patents are calculated from the later, non-provisional patent application filing dates. This system allows us to obtain an early priority date, add material to the patent application(s) during the priority year, obtain a later start to the patent term and delay prosecution costs, which may save costs in the event that we decide not to pursue examination in an application.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Subsequently, when appropriate, we pursue patent applications in foreign countries. The Patent Cooperation Treaty (“PCT”) system for filing international patent applications is used. This system allows a single application to be filed within 12 months of the original priority date of the patent application designating all 157 PCT member states (including countries in South, Central and North America, Africa, Europe, Asia and Australia) in which national/regional patent applications can later be pursued based on the international patent application filed under the PCT. At the end of a period of 2 1/2 years from the first priority date of the PCT patent application, separate patent applications can be pursued in any of the 157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cost savings where applications are abandoned within the first 2 1/2 years of filing.</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continuously reassess the number and type of patent applications, as well as the pending and issued patent claims to ensure that maximum patent coverage and value are obtained for our processes, and compositions, given existing patent office rules and regulations. Further, pending patent claims may be modified during patent prosecution to meet our intellectual property and business needs.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also perform non-infringement searches and analyses for our existing technologies and will continue to do so for future commercial processes and products. For our new developments, we regularly perform expert searches and reviews, and monitor patents and patent applications by third-party competitors. Our policy of avoiding patent infringement is diligently executed. To the best of our knowledge as of the date of this Annual Report on Form 10-K, we have freedom to operate on all of our technologies and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patent positions of biotechnology and biopharmaceutical companies like ours are generally uncertain and involve complex legal, scientific and factual issues. In addition, the coverage claimed in a patent application can be significantly reduced before the patent is issued, and the scope of an issued patent can be reinterpreted or further altered even after patent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patents, please see “Risk factors—Risks related to our intellectual property.”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may be accorded a patent term adjustment, or PTA, under certain circumstances to compensate for delays in granting the patent caused by the United States Patent and Trademark Office. In some instances, such a PTA may result in a U.S. patent term extending beyond 20 years from the earliest date of filing a non-provisional patent application related to the U.S. patent. In addition, in the United States, the term of a U.S. patent that covers an FDA-approved drug may be eligible for a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regulatory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pStyle w:val="TextBody"/>
        <w:bidi w:val="0"/>
        <w:spacing w:before="108" w:after="283"/>
        <w:jc w:val="left"/>
        <w:rPr>
          <w:rFonts w:ascii="Times New Roman" w:hAnsi="Times New Roman"/>
          <w:sz w:val="20"/>
        </w:rPr>
      </w:pPr>
      <w:r>
        <w:rPr>
          <w:rFonts w:ascii="Times New Roman" w:hAnsi="Times New Roman"/>
          <w:color w:val="000000"/>
          <w:sz w:val="18"/>
        </w:rPr>
        <w:t>We further own trade secrets relating to our technology platform and product candidates, and we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are to be kept confidential and not disclosed to third parties except in specific circumstances. Our agreements with employees and consultants also provide that all inventions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conceived by the employee in the course of employment or work with us or from the employee’s or consultant’s use of our confidential information are our exclusive property. For a more comprehensive discussion of the risks related to our trade secrets, please see “Risk factors—Risks related to our intellectual property.”</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Company-owned patents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Mecbotamab vedotin is covered by a number of filings, including a published PCT application filed in 2017 that entered the national phase in 2018. Applications have been granted in Australia, Israel, Japan, Korea, Mexico, Singapore, Taiwan, and the United States and are pending in 13 jurisdictions, including most major market countries. Composition of matter claims issuing from this application would not expire before 2037.</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Ozuriftamab vedotin is covered by a number of filings, including a published PCT application filed in 2017 that entered the national phase in 2018. Applications have been granted in Europe, Japan, Mexico, and the United States and are pending in 14 jurisdictions, including most major market countries. Composition of matter claims issuing from this application would not expire before 2037.</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Evalstotug is covered by a number of filings, including a published PCT application filed in 2019 that entered the national phase in 2021. Applications have been granted in Australia, Israel, Korea, New Zealand, and the United States and are pending in 18 jurisdictions, including most major market countries. Composition of matter claims issuing from this application would not expire before 2039.</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CAB-anti-EpCAM antibody and our preclinical stage CAB-anti-Nectin-4 antibody, are covered by a number of filings. As of March 1, 2023, CAB-anti-EpCAM antibodies are covered by 13 national phase filings, including the United States, and a non-PCT filing in Taiwan. As of March 1, 2023, CAB-anti-Nectin-4 antibodies are covered by 13 national phase filings and an application in Taiwan. Composition of matter claims issuing from these applications would not expire before either 2040 or 2041.</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Core components of our product candidates are protected by company-owned platform applications directed to novel methods of protein evolution, methods of making conditionally active biologics, integrated selection and evolution of antibodies and proteins in expression production hosts, multi-specific antibodies and methods of making, modified antibody regions, conditionally active biological proteins, proteins targeting orthologs, discovery of and production of conditionally active biologic proteins in eukaryotic cell production hosts, conditionally active chimeric antigen receptors for modified T-cells, diagnostics using conditionally active antibodies, conditionally active polypeptides, antibodies targeted to senescent cells, conditionally active proteins for neurodegenerative diseases, and conditionally active proteins with pH selectivity. We also have 27 issued U.S. patents covering various aspects of the manufacturing methods used to generate CAB antibodies that have patent terms expiring from 2030 to 2038, excluding in potential patent term extensions.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Out-licensed patents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Himalaya Therapeutics SEZC has exclusive rights to patents/patent applications in China, Macao, Hong Kong and Taiwan relating to ROR2 (patent application 2017800294276 (China) and patent application 106115891 (Taiwan), both titled “Anti-ROR2 antibodies and their immunoconjugates and uses thereof”) and relating to AXL (patent applications 201780023876X (China) and patent application 106112687 (Taiwan), both titled “Anti-AXL antibodies and their immunoconjugates and uses thereof”). Additionally, Himalaya Therapeutics SEZC has exclusive worldwide rights to patents/patent applications relating to IL-22 (Patent applications 108119613 and PCT/US19/35395, both titled “Anti-IL-22 antibodies, antibody fragments and their immunoconjugates and uses thereof”) and relating to HER2 (patent application USP 62/964,747 titled “Conditionally active anti-HER2 antibodies”).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BioAtla Holdings, LLC has exclusive worldwide rights to all patents for the field of adoptive cell immunotherapy “ACT” (chimeric antigen receptor (CAR) T-cell (“CAR-T”)), excluding the targets licensed to EXUMA Biotech Corp (“EXUMA”).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Inversagen, LLC has exclusive worldwide rights to all patents solely in the field of diseases associated with aging (outside of cancer), diagnostics related thereto and an immuno-oncology antibody.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EXUMA has an exclusive worldwide license to all patents solely to develop, make, have made, use, sell, have sold, offer for sale and import CAR-T products to four named targets for the treatment of cancer. EXUMA’s rights under the agreement exclude the right to grant sublicenses to third parties to discover, develop or manufacture any CAB ACT or any component of our CAB ACT technology, except as used in or incorporated into EXUMA’s ACTs for cancer.</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Government regulation and product approval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Government authorities in the United States, at the federal, state and local level and in other countries and jurisdictions, including the European Union,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Licensure and regulation of biologics in the United States</w:t>
      </w:r>
    </w:p>
    <w:p>
      <w:pPr>
        <w:pStyle w:val="TextBody"/>
        <w:bidi w:val="0"/>
        <w:spacing w:before="108" w:after="283"/>
        <w:jc w:val="left"/>
        <w:rPr>
          <w:rFonts w:ascii="Times New Roman" w:hAnsi="Times New Roman"/>
          <w:sz w:val="20"/>
        </w:rPr>
      </w:pPr>
      <w:r>
        <w:rPr>
          <w:rFonts w:ascii="Times New Roman" w:hAnsi="Times New Roman"/>
          <w:color w:val="000000"/>
          <w:sz w:val="18"/>
        </w:rPr>
        <w:t>In the United States, the FDA regulates biologic products under the Federal Food, Drug, and Cosmetic Act, or the FDCA, the Public Health Service Act, or the PHSA, and regulations and guidance implementing these laws. The FDCA, PHSA and their corresponding regulations, and</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other federal and state statutes and regulations, govern, among other things, the research, development, testing, manufacturing, safety, purity, potency, labeling, packaging, storage, record keeping, approval, distribution, post-approval monitoring and reporting, sampling, import, export, advertising and other promotional practices involving biologic products. Biological products used for the prevention, treatment or cure of a disease or condition of a human being are subject to regulation under the FDCA, except the section of the FDCA that governs the approval of new drug applications, or NDAs. Biological products are approved for marketing under provisions of the PHSA, via a BLA. However, the application process and requirements for approval of BLAs are very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U.S. biologic products development process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Biological product candidates must be approved by the FDA pursuant to a BLA before they may be legally marketed in the United States. The process generally involves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Completion of extensive preclinical laboratory tests and</w:t>
      </w:r>
      <w:r>
        <w:rPr>
          <w:color w:val="000000"/>
        </w:rPr>
        <w:t xml:space="preserve"> </w:t>
      </w:r>
      <w:r>
        <w:rPr>
          <w:rFonts w:ascii="Times New Roman" w:hAnsi="Times New Roman"/>
          <w:i/>
          <w:color w:val="000000"/>
          <w:sz w:val="18"/>
        </w:rPr>
        <w:t>in vivo</w:t>
      </w:r>
      <w:r>
        <w:rPr>
          <w:color w:val="000000"/>
        </w:rPr>
        <w:t xml:space="preserve"> </w:t>
      </w:r>
      <w:r>
        <w:rPr>
          <w:rFonts w:ascii="Times New Roman" w:hAnsi="Times New Roman"/>
          <w:color w:val="000000"/>
          <w:sz w:val="18"/>
        </w:rPr>
        <w:t>studies in accordance with the FDA’s current good laboratory practice, or GLP, regulations and applicable requirements for the humane use of laboratory animals or other applicable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Submission to the FDA of an IND, which must become effective before clinical trials may begin;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Approval by an independent institutional review board, or IRB, reviewing each clinical site before each clinical trial may be initiated;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Performance of adequate and well-controlled clinical trials in accordance with the FDA’s IND regulations, good clinical practice (“GCP”) requirements, and any additional requirements for the protection of human research subjects and their health information, to establish the safety and efficacy of the proposed biologic product candidate for its intended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Preparation and submission to the FDA of a BLA for marketing approval that includes substantial evidence of safety, purity and potency from results of nonclinical testing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determination by the FDA within 60 days of its receipt of a BLA to file the application;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Satisfactory completion of FDA pre-approval inspections of the manufacturing facility or facilities where the biologic product candidate is produced to assess compliance with cGMPs and to assure that the facilities, methods and controls are adequate to preserve the biologic product candidate’s identity, safety, strength, quality, potency and purity;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Satisfactory completion of any potential FDA audits of the nonclinical and clinical trial sites that generated the data in support of the BLA to assure compliance with GCPs and integrity of the clinical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Payment of user fees for FDA review of the BLA;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Review of the product by an FDA advisory committee, if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FDA review and approval of the BLA.</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Preclinical studies</w:t>
      </w:r>
    </w:p>
    <w:p>
      <w:pPr>
        <w:pStyle w:val="TextBody"/>
        <w:bidi w:val="0"/>
        <w:spacing w:before="108" w:after="283"/>
        <w:jc w:val="left"/>
        <w:rPr>
          <w:rFonts w:ascii="Times New Roman" w:hAnsi="Times New Roman"/>
          <w:sz w:val="20"/>
        </w:rPr>
      </w:pPr>
      <w:r>
        <w:rPr>
          <w:rFonts w:ascii="Times New Roman" w:hAnsi="Times New Roman"/>
          <w:color w:val="000000"/>
          <w:sz w:val="18"/>
        </w:rPr>
        <w:t>Before testing any biologic product candidate in humans, the product candidate must undergo rigorous preclinical testing. Preclinical tests, also referred to as nonclinical studies, include laboratory evaluations of product chemistry, toxicity and formulation, as well as</w:t>
      </w:r>
      <w:r>
        <w:rPr>
          <w:rFonts w:ascii="Times New Roman" w:hAnsi="Times New Roman"/>
          <w:color w:val="000000"/>
          <w:sz w:val="20"/>
        </w:rPr>
        <w:t xml:space="preserve"> </w:t>
      </w:r>
      <w:r>
        <w:rPr>
          <w:rFonts w:ascii="Times New Roman" w:hAnsi="Times New Roman"/>
          <w:i/>
          <w:color w:val="000000"/>
          <w:sz w:val="18"/>
        </w:rPr>
        <w:t>in vivo</w:t>
      </w:r>
      <w:r>
        <w:rPr>
          <w:rFonts w:ascii="Times New Roman" w:hAnsi="Times New Roman"/>
          <w:color w:val="000000"/>
          <w:sz w:val="20"/>
        </w:rPr>
        <w:t xml:space="preserve"> </w:t>
      </w:r>
      <w:r>
        <w:rPr>
          <w:rFonts w:ascii="Times New Roman" w:hAnsi="Times New Roman"/>
          <w:color w:val="000000"/>
          <w:sz w:val="18"/>
        </w:rPr>
        <w:t>animal studies to assess the potential safety and activity of the product candidate and to establish a rationale for therapeutic use. The conduct of the preclinical tests must comply with federal regulations and requirements including GLPs.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clinical trial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preclinical testing may continue even after the IND is submitted. An IND automatically becomes effective 30 days after receipt by the FDA, unless before that time the FDA raises concerns or questions related to a proposed clinical trial and places the trial on clinical hold, including concerns that human research subjects will be exposed to unreasonable health risks. In such a case, the IND sponsor and the FDA must resolve any outstanding concerns before the clinical trial can begin. Accordingly, submission of an IND may or may not result in the FDA allowing clinical trials to commence.</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Clinical trials under an IND</w:t>
      </w:r>
    </w:p>
    <w:p>
      <w:pPr>
        <w:pStyle w:val="TextBody"/>
        <w:bidi w:val="0"/>
        <w:spacing w:before="108" w:after="283"/>
        <w:jc w:val="left"/>
        <w:rPr>
          <w:rFonts w:ascii="Times New Roman" w:hAnsi="Times New Roman"/>
          <w:sz w:val="20"/>
        </w:rPr>
      </w:pPr>
      <w:r>
        <w:rPr>
          <w:rFonts w:ascii="Times New Roman" w:hAnsi="Times New Roman"/>
          <w:color w:val="000000"/>
          <w:sz w:val="18"/>
        </w:rPr>
        <w:t>Clinical trials involve the administration of the biologic product candidate to healthy volunteers or patients under the supervision of qualified investigators, who are generally physicians not employed by, or under, the control of the trial sponsor. Clinical trials must be conducted: (i) in compliance with federal regulations; (ii) in compliance with GCPs, an international standard meant to protect the rights and health of patients and to define the roles of clinical trial sponsors, administrators and monitors and (iii) under protocols detailing, among other things, the objectives of the trial, the parameters to be used in monitoring safety and the effectiveness criteria to be evaluated in the trial. Further, each clinical trial must be reviewed and approved by an IRB at or servicing each institution at which the clinical trial will be conducted. An IRB is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charged with protecting the welfare and rights of trial participants and considers items such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reviews and approves the study protocol, and must monitor the clinical trial until completed.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Clinical trials typically are conducted in three sequential phases that may overlap or be combined: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Phase 1.</w:t>
      </w:r>
      <w:r>
        <w:rPr>
          <w:color w:val="000000"/>
        </w:rPr>
        <w:t xml:space="preserve"> </w:t>
      </w:r>
      <w:r>
        <w:rPr>
          <w:rFonts w:ascii="Times New Roman" w:hAnsi="Times New Roman"/>
          <w:color w:val="000000"/>
          <w:sz w:val="18"/>
        </w:rPr>
        <w:t>The biologic product candidate initially is introduced into a small number of healthy human subjects and tested for safety, dosage tolerance, absorption, metabolism, distribution or excretion. If possible, a Phase 1 clinical trial may also seek to gain an early understanding of the product candidate’s effectiveness. In the case of some product candidates for severe or life-threatening diseases, especially when the product candidate may be too inherently toxic to ethically administer to healthy volunteers, the initial human testing is often conducted in patients.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Phase 2.</w:t>
      </w:r>
      <w:r>
        <w:rPr>
          <w:color w:val="000000"/>
        </w:rPr>
        <w:t xml:space="preserve"> </w:t>
      </w:r>
      <w:r>
        <w:rPr>
          <w:rFonts w:ascii="Times New Roman" w:hAnsi="Times New Roman"/>
          <w:color w:val="000000"/>
          <w:sz w:val="18"/>
        </w:rPr>
        <w:t>The biologic product candidate is evaluated in a limited patient population to identify possible adverse effects and safety risks, to preliminarily evaluate the efficacy of the product candidate a particular indication and to determine dosage tolerance, optimal dosage and dosing schedule. Multiple Phase 2 clinical trials may be conducted to obtain information prior to beginning larger and more expensive Phase 3 clinical trials.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Phase 3.</w:t>
      </w:r>
      <w:r>
        <w:rPr>
          <w:color w:val="000000"/>
        </w:rPr>
        <w:t xml:space="preserve"> </w:t>
      </w:r>
      <w:r>
        <w:rPr>
          <w:rFonts w:ascii="Times New Roman" w:hAnsi="Times New Roman"/>
          <w:color w:val="000000"/>
          <w:sz w:val="18"/>
        </w:rPr>
        <w:t xml:space="preserve">The biologic product candidate is administered to an expanded patient population at multiple sites to further evaluate dosage, to demonstrate efficacy and safety, generally at multiple geographically dispersed clinical trial sites. These clinical trials are intended to establish the overall risk/benefit ratio of the investigational product and to provide an adequate basis for product approval and labeling. In most cases, the FDA requires two adequate and well-controlled Phase 3 clinical trials to demonstrate the efficacy of a biologic.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Phase 3 or Phase 2 trial may be sufficient in rare instances, including (i) where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(ii) when in conjunction with other confirmatory evidence. Approval on the basis of a single trial may be subject to the requirement of additional post-approval studies.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Concurrent with clinical trials, companies usually must complete some long-term preclinical testing, such as animal tests of reproductive toxicity and carcinogenicity, and must also develop additional information about the chemistry and physical characteristics of the drug or biologic and finalize a process for manufacturing the product in commercial quantities in accordance with cGMP requirements. The manufacturing process must be capable of consistently producing quality batches of the product and, among other things, the manufacturer must develop methods for testing the identity, strength, quality, potency and purity of the final product. Additionally, appropriate packaging must be selected and tested and stability studies must be conducted to demonstrate that the product does not undergo unacceptable deterioration over its shelf life.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the manufacturer of an investigational biologic in a Phase 2 or Phase 3 clinical trial for a serious or life-threatening disease is required to make available, such as by posting on its website, its policy on evaluating and responding to requests for expanded access to such investigational drug or biologic.</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U.S. review and approval processes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FDA approval of a BLA must be obtained before commercial marketing of the biologic product. The results of the preclinical tests and clinical trials, together with detailed information relating to the product’s pharmacology, chemistry, manufacturing controls, or CMC, and proposed labeling, among other things, are submitted to the FDA as part of the BLA requesting approval to market the product for one or more indications.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cost of preparing and submitting a BLA is substantial. Under the Prescription Drug User Fee Act, or PDUFA, each BLA must be accompanied by a significant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The applicant under an approved BLA is also subject to an annual program fee.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 reviews a BLA within 60 days of receipt to determine whether the application will be filed based on the FDA's determination that it is sufficiently complete to permit substantive review. The FDA may refuse to file any BLA that it deems incomplete or not properly reviewable at the time of submission and may request additional information. In that event, the BLA must be resubmitted with the additional information. The resubmitted application also is subject to review before the FDA files it. Once the submission is filed by the FDA, the FDA begins an in-depth, substantive review of the BLA.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 reviews the BLA to determine, among other things, whether the proposed product candidate is safe and effective for its intended use, has an acceptable purity profile and whether the product candidate is being manufactured in accordance with cGMPs to assure and preserve the product candidate’s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on approval. During the product approval process, the FDA also will determine whether a risk evaluation and mitigation strategy, or REMS, is necessary to assure the safe use of the product candidate. REMS involve additional risk minimization strategies to ensure that the benefits of the product outweigh the potential risks. A REMS can include medication guides, communication plans for healthcare professionals, and elements to assure safe use, or ETASU. ETASU can include, but are not limited to, special training or certification for prescribing or dispensing the product, dispensing the product only under certain circumstances, special monitoring, and the use of patient-specific registries. If the FDA concludes a REMS is needed, the sponsor of the BLA must submit a proposed REMS; the FDA will not approve the BLA without a REMS, if required.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Before approving a BLA, the FDA will inspect the facilities at which the product candidate is manufactured. The FDA will not approve the product unless it determines that the manufacturing processes and facilities are in compliance with cGMP requirements and adequate to assure consistent production of the product candidate within required specifications. Additionally, before approving a BLA, the FDA typically will inspect one or more clinical sites to assure that the clinical trials were conducted in compliance with IND trial requirements and GCP requirements.</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On the basis of the BLA and accompanying information, including the results of the inspection of the manufacturing facilities, the FDA may issue an approval letter or a complete response letter. An approval letter authorizes commercial marketing of the biologic product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submission and may require substantial additional testing or information in order for the FDA to reconsider the application. If a complete response letter is issued, the applicant may either resubmit the BLA, addressing all of the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BLA does not satisfy the criteria for approval.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 has agreed to specified performance goals in the review of BLAs under the PDUFA. One such goal is to review standard BLAs within 10 months after the FDA files the BLA, and priority BLAs within six months, whereupon a review decision is to be made. The review process and the PDUFA goal date for both standard and priority review BLAs may be extended by three months if the FDA requests or the BLA sponsor otherwise provides additional information or clarification regarding information already provided in the submission within the last three months before the PDUFA goal date.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a product candidate receives regulatory approval, the FDA may require post-marketing clinical trials, sometimes referred to as Phase 4 clinical trials, designed to further assess a biologic product’s safety and effectiveness, and testing and surveillance programs to monitor the safety of approved products that have been commercialized.</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Compliance with cGMP requirements</w:t>
      </w:r>
    </w:p>
    <w:p>
      <w:pPr>
        <w:pStyle w:val="TextBody"/>
        <w:bidi w:val="0"/>
        <w:spacing w:before="108" w:after="283"/>
        <w:jc w:val="left"/>
        <w:rPr>
          <w:rFonts w:ascii="Times New Roman" w:hAnsi="Times New Roman"/>
          <w:sz w:val="20"/>
        </w:rPr>
      </w:pPr>
      <w:r>
        <w:rPr>
          <w:rFonts w:ascii="Times New Roman" w:hAnsi="Times New Roman"/>
          <w:color w:val="000000"/>
          <w:sz w:val="18"/>
        </w:rPr>
        <w:t>Manufacturers of biologics must comply with applicable cGMP regulations, including quality control and quality assurance and maintenance of records and documentation.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 placing restrictions on a product, manufacturer or holder of an approved BLA, and may extend to</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requested product recalls or requiring withdrawal of the product from the market. The FDA will not approve a BLA unless it determines that the manufacturing processes and facilities are in compliance with cGMP requirements and adequate to assure consistent production of the product within required specification.</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Expedited development and review programs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FDA is authorized to designate certain products for expedited review if they are intended to address an unmet medical need in the treatment of a serious or life-threatening disease or condition.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Fast track designation may be granted for products that are intended to treat a serious or life-threatening disease or condition and preclinical or clinical data demonstrate the potential to address unmet medical needs for the condition. Fast track designation applies to both the product and the specific indication for which it is being studied. The sponsor of a new biologic candidate can request the FDA to designate the candidate for a specific indication for fast track status 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Any product submitted to the FDA for marketing, including under a fast track program, may be eligible for other types of FDA programs intended to expedite development and review, such as priority review and accelerated approval.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marker, such as a laboratory measurement, radiographic image, physical sign, or other measure that is thought to predict clinical benefit, but is not itself a measure of clinical benefit.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the verification and description of the product’s clinical benefit, which is generally in the form of at least one post-approval confirmatory trial. These confirmatory trials must be completed with due diligence and, in some cases, the FDA may require that the trial be designed, initiated and/or fully enrolled prior to submission of the application or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Food and Drug Omnibus Reform Act, or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which may include milestones such as a target date of study completion and requires sponsors to submit progress reports for required post-approval studies and any conditions required by the FDA not later than 180 days following approval and not less frequently than every 180 days thereafter until completion or termination of the study. FDORA enables the FDA to initiate enforcement action for the failure to conduct with due diligence a required post-approval study, including a failure to meet any required conditions specified by the FDA or to submit timely reports.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Post-approval requirements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Rigorous and extensive FDA regulation of biologic products continues after approval, particularly with respect to cGMP requirements. Manufacturers are required to comply with applicable requirements in the cGMP regulations, including quality control and quality assurance and maintenance of records and documentation, and are subject to periodic inspections by the FDA.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Other post-approval requirements applicable to biologic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 sponsor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Failure to comply with the applicable U.S. requirements at any time during the product development process, approval process or after approval, may subject an applicant or manufacturer to administrative or judicial civil or criminal sanctions and adverse publicity. These actions could include refusal to approve pending applications or supplemental applications, withdrawal of an approval, clinical hold, suspension or termination of clinical trials by an IRB, warning or untitled letters, product recalls, product seizures, total or partial suspension of production or distribution, injunctions, fines or other monetary penalties, refusals of government contracts, mandated corrective advertising or communications with healthcare providers, debarment, restitution, disgorgement of profits or other civil or criminal penalties.</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Orphan drug designation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Orphan drug designation in the United States is designed to encourage sponsors to develop products intended for treatment of rare diseases or conditions. In the United States, pursuant to the Orphan Drug Act, the FDA may grant orphan designation to a biological product intended to treat a rare disease or condition, which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 application for designation as an orphan product can be made any time prior to the filing of an application for approval to market the product. The Office of Orphan Products Development at the FDA grants orphan drug designations based on acceptable confidential requests made under the regulatory provisions. The product must then go through the review and approval process like any other product. Orphan drug designation entitles a company to financial incentives, such as tax credits and user fee waivers, but does not convey any advantage in or shorten the duration of the regulatory review and approval process.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sponsor may request orphan drug designation of a previously unapproved product or new orphan indication for an already marketed product. In addition, a sponsor of a product that is otherwise the same drug, which includes biologics,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pStyle w:val="TextBody"/>
        <w:bidi w:val="0"/>
        <w:spacing w:before="216" w:after="283"/>
        <w:jc w:val="left"/>
        <w:rPr>
          <w:rFonts w:ascii="Times New Roman" w:hAnsi="Times New Roman"/>
          <w:sz w:val="20"/>
        </w:rPr>
      </w:pPr>
      <w:r>
        <w:rPr>
          <w:rFonts w:ascii="Times New Roman" w:hAnsi="Times New Roman"/>
          <w:color w:val="000000"/>
          <w:sz w:val="18"/>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indication for seven years, except in certain limited circumstances, such as a showing of clinical superiority to the product with orphan exclusivity by means of greater effectiveness, greater safety, or providing a major contribution to patient care, or in instances of product supply issues. If a product designated as an orphan drug ultimately receives marketing approval for an indication broader than what was designated in its orphan drug application, it may not be entitled to orphan drug exclusivity. Competitors may receive approval of either a different drug for the same indication or the same drug for a different indication.</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period of exclusivity begins on the date that the marketing application is approved by the FDA and applies only to the indication for which the product has been designated and approved. The FDA may approve a second application for the same drug for a different use or a second application for a clinically superior version of the drug for the same use. Because healthcare professionals are free to prescribe products for off-label uses, the competitor’s product could be used for the orphan indication despite another product’s orphan exclusivity. The FDA cannot, however, approve the same drug made by another manufacturer for the same indication during the market exclusivity period unless it has the consent of the sponsor or the sponsor is unable to provide sufficient quantities.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FDA’s determination of whether two ADCs are the same drug for purposes of orphan drug exclusivity is based on a determination of sameness of the monoclonal antibody element and the functional element of the conjugated molecule. Two ADCs are deemed to be the same product if the complementarity determining region sequences of the antibody and the functional element of the conjugated molecule are the same. A difference in either of those two elements can result in a determination that the molecules are different.</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FDA approval and regulation of companion diagnostics</w:t>
      </w:r>
    </w:p>
    <w:p>
      <w:pPr>
        <w:pStyle w:val="TextBody"/>
        <w:bidi w:val="0"/>
        <w:spacing w:before="108" w:after="283"/>
        <w:jc w:val="left"/>
        <w:rPr>
          <w:rFonts w:ascii="Times New Roman" w:hAnsi="Times New Roman"/>
          <w:sz w:val="20"/>
        </w:rPr>
      </w:pPr>
      <w:r>
        <w:rPr>
          <w:rFonts w:ascii="Times New Roman" w:hAnsi="Times New Roman"/>
          <w:color w:val="000000"/>
          <w:sz w:val="18"/>
        </w:rPr>
        <w:t xml:space="preserve">If use of an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diagnostic is essential to the safe and effective use of a drug or biologic product, then the FDA generally will require approval or clearance of that diagnostic, known as a companion diagnostic, before or at the same time that the FDA approves the therapeutic product. In August 2014, the FDA issued final guidance clarifying the requirements that will apply to approval of therapeutic products and</w:t>
      </w:r>
      <w:r>
        <w:rPr>
          <w:rFonts w:ascii="Times New Roman" w:hAnsi="Times New Roman"/>
          <w:color w:val="000000"/>
          <w:sz w:val="20"/>
        </w:rPr>
        <w:t xml:space="preserve"> </w:t>
      </w:r>
      <w:r>
        <w:rPr>
          <w:rFonts w:ascii="Times New Roman" w:hAnsi="Times New Roman"/>
          <w:i/>
          <w:color w:val="000000"/>
          <w:sz w:val="18"/>
        </w:rPr>
        <w:t xml:space="preserve">in vitro </w:t>
      </w:r>
      <w:r>
        <w:rPr>
          <w:rFonts w:ascii="Times New Roman" w:hAnsi="Times New Roman"/>
          <w:color w:val="000000"/>
          <w:sz w:val="18"/>
        </w:rPr>
        <w:t>companion diagnostics. According to the guidance, if the FDA determines that a companion diagnostic device is essential to the safe and effective use of a biologic product or indication, the FDA generally will not approve the biologic product or new biologic product indication if the companion diagnostic device is not approved or cleared for that indication.</w:t>
      </w:r>
    </w:p>
    <w:p>
      <w:pPr>
        <w:pStyle w:val="TextBody"/>
        <w:bidi w:val="0"/>
        <w:spacing w:before="216" w:after="283"/>
        <w:jc w:val="left"/>
        <w:rPr>
          <w:rFonts w:ascii="Times New Roman" w:hAnsi="Times New Roman"/>
          <w:sz w:val="20"/>
        </w:rPr>
      </w:pPr>
      <w:r>
        <w:rPr>
          <w:rFonts w:ascii="Times New Roman" w:hAnsi="Times New Roman"/>
          <w:color w:val="000000"/>
          <w:sz w:val="18"/>
        </w:rPr>
        <w:t xml:space="preserve">The FDA has also introduced the concept of a complementary diagnostic, which the FDA defines as a test that is not required but which provides significant information about the use of a drug. A complementary test can help guide treatment strategy and identify which patients are likely to derive the greatest benefit from therapy, and if approved by the FDA information regarding the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diagnostic will be included in the therapeutic product labeling.</w:t>
        <w:br/>
      </w:r>
      <w:r>
        <w:rPr>
          <w:rFonts w:ascii="Times New Roman" w:hAnsi="Times New Roman"/>
          <w:color w:val="000000"/>
          <w:sz w:val="20"/>
        </w:rPr>
        <w:t> </w:t>
      </w:r>
    </w:p>
    <w:p>
      <w:pPr>
        <w:pStyle w:val="TextBody"/>
        <w:bidi w:val="0"/>
        <w:spacing w:before="216" w:after="283"/>
        <w:jc w:val="left"/>
        <w:rPr>
          <w:rFonts w:ascii="Times New Roman" w:hAnsi="Times New Roman"/>
          <w:sz w:val="20"/>
        </w:rPr>
      </w:pPr>
      <w:r>
        <w:rPr>
          <w:rFonts w:ascii="Times New Roman" w:hAnsi="Times New Roman"/>
          <w:color w:val="000000"/>
          <w:sz w:val="18"/>
        </w:rPr>
        <w:t>Approval or clearance of the companion or complementary diagnostic device will ensure that the device has been adequately evaluated and has adequate performance characteristics in the intended population. The review of</w:t>
      </w:r>
      <w:r>
        <w:rPr>
          <w:rFonts w:ascii="Times New Roman" w:hAnsi="Times New Roman"/>
          <w:color w:val="000000"/>
          <w:sz w:val="20"/>
        </w:rPr>
        <w:t xml:space="preserv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companion or complementary diagnostics in conjunction with the review of our products will, therefore, likely involve coordination of review by the FDA’s Center for Drug Evaluation and Research and Office of In Vitro Diagnostics. We may partner with a diagnostic provider to develop a companion or complementary diagnostic for certain of our product candidates. Review and approval of a companion or complementary diagnostic is typically done in parallel with development of the therapeutic product. However, it is possible that the FDA may permit approval of the companion or complementary diagnostic as a post-marketing commitment following a potential regulatory approval.</w:t>
        <w:br/>
        <w:br/>
      </w:r>
      <w:r>
        <w:rPr>
          <w:rFonts w:ascii="Times New Roman" w:hAnsi="Times New Roman"/>
          <w:color w:val="000000"/>
          <w:sz w:val="20"/>
        </w:rPr>
        <w:t> </w:t>
      </w:r>
    </w:p>
    <w:p>
      <w:pPr>
        <w:pStyle w:val="TextBody"/>
        <w:bidi w:val="0"/>
        <w:spacing w:before="108" w:after="283"/>
        <w:jc w:val="left"/>
        <w:rPr>
          <w:rFonts w:ascii="Times New Roman" w:hAnsi="Times New Roman"/>
          <w:sz w:val="20"/>
        </w:rPr>
      </w:pPr>
      <w:r>
        <w:rPr>
          <w:rFonts w:ascii="Times New Roman" w:hAnsi="Times New Roman"/>
          <w:color w:val="000000"/>
          <w:sz w:val="18"/>
        </w:rPr>
        <w:t xml:space="preserve">Under the FDCA,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 xml:space="preserve">diagnostics, including companion and complementary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The FDA has generally required </w:t>
      </w:r>
      <w:r>
        <w:rPr>
          <w:rFonts w:ascii="Times New Roman" w:hAnsi="Times New Roman"/>
          <w:i/>
          <w:color w:val="000000"/>
          <w:sz w:val="18"/>
        </w:rPr>
        <w:t xml:space="preserve">in vitro </w:t>
      </w:r>
      <w:r>
        <w:rPr>
          <w:rFonts w:ascii="Times New Roman" w:hAnsi="Times New Roman"/>
          <w:color w:val="000000"/>
          <w:sz w:val="18"/>
        </w:rPr>
        <w:t>companion diagnostics intended to select the patients who will respond to cancer treatment to obtain a PMA for that diagnostic simultaneously with approval of the therapeutic.</w:t>
      </w:r>
      <w:r>
        <w:rPr>
          <w:rFonts w:ascii="Times New Roman" w:hAnsi="Times New Roman"/>
          <w:color w:val="000000"/>
          <w:sz w:val="20"/>
        </w:rPr>
        <w:t xml:space="preserve">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additional testing and/or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After a device is placed on the market, it remains subject to significant regulatory requirements. Medical devices may be marketed only for the uses and indications for which they are cleared or approved. Device manufacturers must also register their establishments and list their devices with the FDA. A medical device manufacturer’s manufacturing processes, and the processes of the device specification developer and repackager/relabeler (if different from the manufacturer) and initial importer (if manufactured outside of the United States) are required to comply with the applicable portions of the QSR, which cover the methods and documentation of the design, testing, production, processes, controls, quality assurance, importation, labeling, packaging and shipping of medical devices. Facility records and manufacturing processes are subject to periodic unscheduled inspections by the FDA.</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Pediatric information</w:t>
      </w:r>
    </w:p>
    <w:p>
      <w:pPr>
        <w:pStyle w:val="TextBody"/>
        <w:bidi w:val="0"/>
        <w:spacing w:before="108" w:after="283"/>
        <w:jc w:val="left"/>
        <w:rPr>
          <w:rFonts w:ascii="Times New Roman" w:hAnsi="Times New Roman"/>
          <w:sz w:val="20"/>
        </w:rPr>
      </w:pPr>
      <w:r>
        <w:rPr>
          <w:rFonts w:ascii="Times New Roman" w:hAnsi="Times New Roman"/>
          <w:color w:val="000000"/>
          <w:sz w:val="18"/>
        </w:rPr>
        <w:t>Under the Pediatric Research Equity Act, or PREA, a BLA or supplement to a BLA must contain data to assess the safety and effectiveness of the biologic product candidate for the claimed indications in all relevant pediatric subpopulations and to support dosing and administration for each pediatric subpopulation for which the product candidate is safe and effective. The FDA may grant deferrals for submission of data or full or partial waivers. Unless otherwise required by regulation, the PREA generally does not apply to any biologic product candidate for an indication for which orphan designation has been granted with the exception of orphan-designated biologics if the product contains a new active ingredient and is a molecularly targeted cancer product intended for the treatment of an adult cancer and is directed at a molecular target that FDA has determined is substantially relevant to the growth or progression of a pediatric cancer.</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Best Pharmaceuticals for Children Act, or BPCA, provides a six-month extension of any patent and non-patent exclusivity for a biologic if certain conditions are met. Conditions for exclusivity include the FDA’s determination that information relating to the use of a new biologic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Additional controls for biologics</w:t>
      </w:r>
    </w:p>
    <w:p>
      <w:pPr>
        <w:pStyle w:val="TextBody"/>
        <w:bidi w:val="0"/>
        <w:spacing w:before="108" w:after="283"/>
        <w:jc w:val="left"/>
        <w:rPr>
          <w:rFonts w:ascii="Times New Roman" w:hAnsi="Times New Roman"/>
          <w:sz w:val="20"/>
        </w:rPr>
      </w:pPr>
      <w:r>
        <w:rPr>
          <w:rFonts w:ascii="Times New Roman" w:hAnsi="Times New Roman"/>
          <w:color w:val="000000"/>
          <w:sz w:val="18"/>
        </w:rPr>
        <w:t>To help reduce the increased risk of the introduction of adventitious agents, the PHSA emphasizes the importance of manufacturing controls for products whose attributes cannot be precisely defined. The PHSA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w:t>
        <w:br/>
      </w:r>
      <w:r>
        <w:rPr>
          <w:rFonts w:ascii="Times New Roman" w:hAnsi="Times New Roman"/>
          <w:color w:val="000000"/>
          <w:sz w:val="20"/>
        </w:rPr>
        <w:t>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the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As with drugs, after approval of a BLA, biologics manufacturers must address any safety issues that arise, are subject to recalls or a halt in manufacturing, and are subject to periodic inspection after approval.</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Biosimilars and exclusivity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Patient Protection and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The FDA has licensed numerous biosimilars under the BPCIA, and has issued several guidance documents outlining an approach to review and approval of biosimilars.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Biosimilarity, which requires that there be no differences in conditions of use, route of administration, dosage form, and strength, and no clinically meaningful differences between the proposed biosimilar biological product and the reference product in terms of safety, purity and potency, can be shown through analytical studies, an assessment of toxicity, and a clinical trial or studies though the FDA has broad discretion to set or waive certain biosimilar licensure data requirements.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some hurdles to biosimilar product implementation which is still being evaluated by the FDA.</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the safety, purity and potency of its product. The BPCIA also created an exclusivity period for biosimilars approved as interchangeable products. At this juncture, it is unclear whether products deemed “interchangeable” by the FDA will, in fact, be readily substituted by pharmacies, which are governed by state pharmacy law.</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first biologic product submitted under the biosimilar abbreviated approval pathway that is determined to be interchangeable with the reference product has exclusivity against approval of an interchangeable biologic for the same condition of use for the earlier of (i) one year after first commercial marketing of the first interchangeable biosimilar, (ii) 18 months after the first interchangeable biosimilar is approved if there is no patent challenge, (iii) eighteen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Patent term restoration and extension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the United States, a patent claiming a new biologic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involving human beings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Regulation and procedures governing approval of medicinal products in the European Union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post-market surveillance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Except in limited cases of compassionate use, it also requires the submission to the relevant competent authorities of a marketing authorization application, or MAA, and granting of a marketing authorization by these authorities before the product can be marketed and sold in the European Union.</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Clinical trial approval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Pursuant to the currently applicable Clinical Trials Directive 2001/20/EC and the Directive 2005/28/EC on GCP, a system for the approval of clinical trials (excluding non-interventional trials) conducted in the European Union has been implemented through national legislation of the member states. Under this system, the sponsor of a clinical trial must submit a request for authorization to the competent national authority of the European Union member state in which the clinical trial is to be conducted, or in multiple member states if the clinical trial is to be conducted in a number of member states. Furthermore, the applicant must obtain a favorable opinion from the competent ethics committee before starting a clinical trial.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April 2014, the European Union adopted a new Clinical Trials Regulation (EU) No 536/2014, but it has not yet become effective. Its application is subject to the full functionality of the European Union clinical trials portal and database. According to the most recent official communications, the audit aiming to confirm the full functionality of the portal and database will be conducted in December 2020. The new Clinical Trials Regulation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single-entry point and shorter deadlines for the assessment of clinical trial applications. The scientific assessment of a clinical trial to be conducted in more than one member state would be carried out once for all the concerned member states while other aspects (e.g., informed consent requirements) are assessed by each member state for its territory. In addition, sponsors must post clinical trial information (e.g., a summary of trial results) at the EudraCT website.</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PRIME designation in the European Union</w:t>
      </w:r>
    </w:p>
    <w:p>
      <w:pPr>
        <w:pStyle w:val="TextBody"/>
        <w:bidi w:val="0"/>
        <w:spacing w:before="108" w:after="283"/>
        <w:jc w:val="left"/>
        <w:rPr>
          <w:rFonts w:ascii="Times New Roman" w:hAnsi="Times New Roman"/>
          <w:sz w:val="20"/>
        </w:rPr>
      </w:pPr>
      <w:r>
        <w:rPr>
          <w:rFonts w:ascii="Times New Roman" w:hAnsi="Times New Roman"/>
          <w:color w:val="000000"/>
          <w:sz w:val="18"/>
        </w:rPr>
        <w:t>In March 2016, the European Medicines Agency (the “EMA”) launched an initiative to facilitate development of product candidates of major interest from the point of view of public health and in particular from the point of view of therapeutic innovation. The PRIority MEdicines, or PRIME, scheme is intended to encourage drug development in areas of unmet medical need and provides accelerated assessment of products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representing substantial innovation reviewed under the centralized procedure. Eligibility for the PRIME scheme depends on the availability of adequate preclinical and clinical data to justify a potential major public health interest prior to the initiation of confirmatory clinical trials at the proof-of-concept stage. Products from micro, small and medium-sized enterprises may qualify for earlier entry into the PRIME scheme than larger companies and benefit from fee reductions with the EMA. Many benefits accrue to sponsors of product candidates with PRIME designation, including early and proactive regulatory dialogue with the EMA, frequent discussions on clinical trial designs and other development program elements, scientific advice on key decision points for the preparation of the MAA and accelerated MAA assessment once a dossier has been submitted. More specifically, a kick-off meeting initiates these relationships and includes a team of multidisciplinary experts at the EMA to provide guidance on the overall development and regulatory strategies. Importantly, a dedicated EMA contact (rapporteur) from the Committee for Human Medicinal Products, or CHMP, or Committee for Advanced Therapies in the case of an advanced therapy, are appointed early in the PRIME scheme to provide continuous support and help to build knowledge ahead of a MAA.</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Marketing authorization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In order to support the authorization of medicinal products for children, Regulation (EC) No 1901/2006 provides that prior to obtaining a marketing authorization in the European Union,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 The requirement for a PIP also applies to applications for new indications, pharmaceutical forms or routes of administration for medicinal products that are already authorized.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is optional. Manufacturers must demonstrate the quality, safety and efficacy of their products to the EMA, which provides an opinion regarding the MAA through the CHMP responsible for conducting an initial assessment of the product.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maximum timeframe for the evaluation of an MAA by the CHMP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 The final decision on the MAA is issued by the European Commission, in light of the opinion delivered by the EMA, and after the member states have had an opportunity to comment on it.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With respect to medicinal products for which a centralized authorization is not mandatory, the applicant may choose between: (i) the national procedure provided for by a specific member state, for the marketing of the product in its territory, (ii) the decentralized procedure, for drug candidates that are not marketed in any of the member states but the applicant wishes to market them on more than one EU national territories or (iii) the mutual recognition procedure, which applies to products already authorized in a member state and whose marketing in other member states’ territories is sought.</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Regulatory data protection in the European Union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the European Union,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These exclusivity periods apply only once from the first authorization granted to an applicant for a given active substance and they cannot be renewed when the same marketing authorization holder is granted new authorizations for new indications, strengths, pharmaceutical forms, administration routes or presentations of the same active substance. Data exclusivity prevents regulatory authorities in the European Union from referencing the innovator’s data to assess another product (either generic, hybrid or biosimilar) application for a period of eight years. During the additional two-year period of market exclusivity, a generic, hybrid or biosimilar marketing authorization application can be submitted, and the innovator’s data may be referenced, but no generic, hybrid or biosimilar medicinal product can be marketed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Patent term extensions in the European Union and other jurisdictions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European Union also provides for patent term extension through Supplementary Protection Certificates, or SPCs. The rules and requirements for obtaining a SPC are similar to those in the United States. An SPC may extend the term of a patent for up to five years after its originally scheduled expiration date. In certain circumstances, these periods may be extended for six additional months if pediatric exclusivity is obtained. Although SPCs are available throughout the European Union, sponsors must apply on a country-by-country basis. Similar patent term extension rights exist in certain other foreign jurisdictions outside the European Union.</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Periods of authorization and renewals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 marketing authorization is valid for five years, in principle, and it may be renewed after five years on the basis of a reevaluation of the risk-benefit balance by the EMA or by the competent authority of the authorizing member state, depending on the procedure through which the marketing authorization has been granted.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European Union market (in the case of the centralized procedure) or on the market of the authorizing member state within three years after authorization is granted ceases to be valid.</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Regulatory requirements after marketing authorization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good manufacturing practices (“GMP”) requirements and comparable requirements of other regulatory bodies in the European Union, which mandate the methods, facilities and controls used in the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European Union under Directive 2001/83EC, as amended.</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Orphan drug designation and exclusivity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ten thousand persons in the European Union when the application is made, or (ii)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for which the orphan designation is requested will be of significant benefit to those affected by that condition.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 orphan drug designation provides a number of benefits, including fee reductions, regulatory and scientific assistance and the possibility to apply for a centralized European Union marketing authorization. In particular, an orphan drug designation leads to a 10-year period of market exclusivity from the granting of the concerned medicinal product marketing authorization for the particular indication. During this market exclusivity period, neither the EMA nor the member states can accept an application or grant a marketing authorization for a “similar medicinal product.” A “similar medicinal product” is defined as a medicinal product containing a similar or identical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so as to not to justify market exclusivity.</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General Data Protection Regulation (the “GDPR”)</w:t>
      </w:r>
    </w:p>
    <w:p>
      <w:pPr>
        <w:pStyle w:val="TextBody"/>
        <w:bidi w:val="0"/>
        <w:spacing w:before="108" w:after="283"/>
        <w:jc w:val="left"/>
        <w:rPr>
          <w:rFonts w:ascii="Times New Roman" w:hAnsi="Times New Roman"/>
          <w:sz w:val="20"/>
        </w:rPr>
      </w:pPr>
      <w:r>
        <w:rPr>
          <w:rFonts w:ascii="Times New Roman" w:hAnsi="Times New Roman"/>
          <w:color w:val="000000"/>
          <w:sz w:val="18"/>
        </w:rPr>
        <w:t>The collection, use, disclosure, transfer or other processing of personal data regarding individuals in the European Union, including personal health data, is subject to the Regulation (EU) No. 2016/679,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turnover of the preceding financial year,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be a rigorous and time-intensive process that may increase the cost of doing business or require companies to change their business practices to ensure full compliance.</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Coverage and reimbursement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Sales of our product candidates, if approved, will depend, in part, on the extent to which such products will be covered by third-party payors, such as government healthcare programs, commercial insurance and managed healthcare organizations. These third-party payors are increasingly limiting coverage or reducing reimbursements for medical products and services. In the United States, no uniform policy of coverage and reimbursement for products exists among third-party payors. Therefore, coverage and reimbursement for products can differ significantly from payor to payor.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candidates or a decision by a third-party payor to not cover our product candidates could reduce physician usage of our product candidates, once approved, and have a material adverse effect on our sales, results of operations and financial condition.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Other U.S. healthcare laws and compliance requirements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the United States, biotechnology company activities are potentially subject to regulation by various federal, state and local authorities in addition to the FDA, including but not limited to, the Centers for Medicare &amp; Medicaid Services, or CMS, other divisions of the U.S. Department of Health and Human Services, or HHS (e.g., the Office of Inspector General and the Office for Civil Rights), the U.S. Department of Justice, or the DOJ, and individual U.S. Attorney offices within the DOJ, and state and local governments. The laws biotechnology companies may have to comply with include the anti-fraud and abuse provisions of the Social Security Act, the federal false claims laws, the privacy and security provisions of the Health Insurance Portability and Accountability Act of 1996, or HIPAA, and similar state laws, each as amended, as applicable.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recommending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and/or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Practices may not in all cases meet all of the criteria for protection under a statutory exception or regulatory safe harbor. In addition, the statutory exceptions and regulatory safe harbors are subject to change. Additionally, the intent standard under the Anti-Kickback Statute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Federal false claims laws, including the federal civil False Claims Act, prohibit,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In addition, manufacturers can be held liable under the civil False Claims Act even when they do not submit claims directly to government payors if they are deemed to “cause” the submission of false or fraudulent claims. Pharmaceutical and other biotechnology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 and purportedly concealing price concessions in the pricing information submitted to the government for government price reporting purposes.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HIPAA created additional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Anti-Kickback Statute, a person or entity does not need to have actual knowledge of the statute or specific intent to violate it in order to have committed a violation.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Also, many states have similar fraud and abuse statutes or regulations that apply to items and services reimbursed under Medicaid and other state programs, or, in several states, apply regardless of the payor.</w:t>
      </w:r>
    </w:p>
    <w:p>
      <w:pPr>
        <w:pStyle w:val="TextBody"/>
        <w:bidi w:val="0"/>
        <w:spacing w:before="216" w:after="283"/>
        <w:jc w:val="left"/>
        <w:rPr>
          <w:rFonts w:ascii="Times New Roman" w:hAnsi="Times New Roman"/>
          <w:sz w:val="20"/>
        </w:rPr>
      </w:pPr>
      <w:r>
        <w:rPr>
          <w:rFonts w:ascii="Times New Roman" w:hAnsi="Times New Roman"/>
          <w:color w:val="000000"/>
          <w:sz w:val="18"/>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made or distributed to physicians (defined to include doctors, dentists, optometrists, podiatrists and chiropractors), physician assistants, certain types of advance practice nurses and teaching hospitals, or to entities or individuals at the request of, or designated on behalf of such providers, and to report annually certain ownership and investment interests held by physicians and their immediate family members.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Violation of any of the federal and state healthcare laws described above or any other governmental regulations may result in penalties, including without limitation, significant civil, criminal and/or administrative penalties, damages, fines, disgorgement, exclusion from participation in government programs, such as Medicare and Medicaid, imprisonment, injunctions, private “qui tam” actions brought by individual whistleblowers in the name of the government, refusal to enter into government contracts, oversight monitoring, contractual damages, reputational harm, administrative burdens, diminished profits and future earnings.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Federal and state data privacy and security laws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or HITECH, and their regulations, including the final omnibus rule published on January 25, 2013, also imposes certain obligations on the business associates of covered entities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Additionally, state laws govern the privacy and security of health information in specified circumstances, many of which differ from each other in significant ways and may not have the same effect, and often are not preempted by HIPAA, thus complicating compliance efforts. For example, the California Consumer Privacy Act, or CCPA,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On November 3, 2020, California voters approved a new privacy law, the California Privacy Rights Act, or the CPRA, which significantly modifies the CCPA, including by expanding consumers’ rights with respect to certain personal information and creating a new state agency to oversee implementation and enforcement efforts. The CCPA and CPRA provide for unlimited civil penalties for violations, as well as a private right of action for data breaches that is expected to increase data breach litigation. The CPRA took effect in most material respects on January 1, 2023. CCPA enforcement thus far has been limited; it has not been subject to significant litigation and judicial interpretation. As a result, it remains unclear how various provisions of the CCPA will be interpreted and enforced. State laws are changing rapidly and there is discussion in the U.S. of a new comprehensive federal data privacy law to which we would become subject if it is enacted.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imprisonment, contractual damages, reputational harm, diminished profits and future earnings, additional reporting requirements and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Healthcare reform</w:t>
      </w:r>
    </w:p>
    <w:p>
      <w:pPr>
        <w:pStyle w:val="TextBody"/>
        <w:bidi w:val="0"/>
        <w:spacing w:before="108" w:after="283"/>
        <w:jc w:val="left"/>
        <w:rPr>
          <w:rFonts w:ascii="Times New Roman" w:hAnsi="Times New Roman"/>
          <w:sz w:val="20"/>
        </w:rPr>
      </w:pPr>
      <w:r>
        <w:rPr>
          <w:rFonts w:ascii="Times New Roman" w:hAnsi="Times New Roman"/>
          <w:color w:val="000000"/>
          <w:sz w:val="18"/>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Several healthcare reform proposals culminated in the enactment of the Inflation Reduction Act, or IRA, in August 2022, which, among other things, allows HHS to directly negotiate the selling price of a statutorily specified number of drugs and biologics each year that CMS reimburses under Medicare Part B and Part D. Only high-expenditure single-source biologics that have been</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approved for at least 11 years (7 years for drugs) can be selected by CMS for negotiation, with the negotiated price taking effect two years after the selection year. Negotiations for Medicare Part D products take place in 2024 with the negotiated price taking effect in 2026, and negotiations for Medicare Part B products will begin in 2026 with the negotiated price taking effect in 2028. In August 2023, HHS announced the ten Medicare Part D drugs and biologics that it selected for negotiations. HHS will announce the negotiated maximum fair prices by September 1, 2024, and this price cap, which cannot exceed a statutory ceiling price, will go into effect on January 1, 2026. A drug or biological product that has an orphan drug designation for only one rare disease or condition will be excluded from the IRA’s price negotiation requirements, but will lose that exclusion if it receives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IRA also imposes rebates on Medicare Part B and Part D drugs whose prices have increased at a rate greater than the rate of inflation. The IRA also extends enhanced subsidies for individuals purchasing health insurance coverage in ACA marketplaces through plan year 2025.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have been and may continue to be subject to legal challenges. For example, the provisions related to the negotiation of selling prices of high-expenditure single-source drugs and biologics have been challenged in multiple lawsuits brought by pharmaceutical manufacturers. Thus, while it is unclear how the IRA will be implemented, it will likely have a significant impact on the biopharmaceutical industry and the pricing of prescription drug products. Additional state and federal healthcare reform measures could be adopted in the future.</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Human Capital Management</w:t>
      </w:r>
    </w:p>
    <w:p>
      <w:pPr>
        <w:pStyle w:val="TextBody"/>
        <w:bidi w:val="0"/>
        <w:spacing w:before="108" w:after="283"/>
        <w:jc w:val="left"/>
        <w:rPr>
          <w:rFonts w:ascii="Times New Roman" w:hAnsi="Times New Roman"/>
          <w:sz w:val="20"/>
        </w:rPr>
      </w:pPr>
      <w:r>
        <w:rPr>
          <w:rFonts w:ascii="Times New Roman" w:hAnsi="Times New Roman"/>
          <w:i/>
          <w:color w:val="000000"/>
          <w:sz w:val="18"/>
        </w:rPr>
        <w:t>Employees</w:t>
      </w:r>
      <w:r>
        <w:rPr>
          <w:rFonts w:ascii="Times New Roman" w:hAnsi="Times New Roman"/>
          <w:color w:val="000000"/>
          <w:sz w:val="18"/>
        </w:rPr>
        <w:t>. As of December 31, 2023, we employed 65 employees. We also engaged 21 independent contractors located in China as of December 31, 2023 pursuant to our relationship with BioDuro-Sundia, a U.S.-based provider of preclinical development services. None of our employees are subject to a collective bargaining agreement. We consider our relationship with our employees to be good.</w:t>
      </w:r>
    </w:p>
    <w:p>
      <w:pPr>
        <w:pStyle w:val="TextBody"/>
        <w:bidi w:val="0"/>
        <w:spacing w:before="216" w:after="283"/>
        <w:jc w:val="left"/>
        <w:rPr>
          <w:rFonts w:ascii="Times New Roman" w:hAnsi="Times New Roman"/>
          <w:sz w:val="20"/>
        </w:rPr>
      </w:pPr>
      <w:r>
        <w:rPr>
          <w:rFonts w:ascii="Times New Roman" w:hAnsi="Times New Roman"/>
          <w:i/>
          <w:color w:val="000000"/>
          <w:sz w:val="18"/>
        </w:rPr>
        <w:t>Compensation and Benefits Program</w:t>
      </w:r>
      <w:r>
        <w:rPr>
          <w:rFonts w:ascii="Times New Roman" w:hAnsi="Times New Roman"/>
          <w:color w:val="000000"/>
          <w:sz w:val="18"/>
        </w:rPr>
        <w:t>. Our compensation program is designed to attract and reward talented individuals who possess the skills necessary to support our business objectives, assist in the achievement of our strategic goals and create long-term value for our stockholders. We provide employees with compensation packages that include base salary, annual incentive bonuses, and long-term equity awards tied to the value of our stock price. We believe that a compensation program with both short-term and long-term awards provides fair and competitive compensation and aligns employee and stockholder interests, including by incentivizing business and individual performance (pay for performance), motivating based on long-term company performance and integrating compensation with our business plans. In addition to cash and equity compensation, we also offer employees benefits such as life and health (medical, dental &amp; vision) insurance, flexible spending accounts for health and dependent care needs, paid time off, paid parental leave, participation in our Employee Stock Purchase Plan and a 401(k) plan. In addition to our benefits, we offer wellness and stress management support which includes an on-site gym, company-wide wellness activities, wellness resources that are shared with employees each month, an Employee Assistance Program with counseling, and flexible work arrangements.</w:t>
      </w:r>
    </w:p>
    <w:p>
      <w:pPr>
        <w:pStyle w:val="TextBody"/>
        <w:bidi w:val="0"/>
        <w:spacing w:before="216" w:after="283"/>
        <w:jc w:val="left"/>
        <w:rPr>
          <w:rFonts w:ascii="Times New Roman" w:hAnsi="Times New Roman"/>
          <w:sz w:val="20"/>
        </w:rPr>
      </w:pPr>
      <w:r>
        <w:rPr>
          <w:rFonts w:ascii="Times New Roman" w:hAnsi="Times New Roman"/>
          <w:i/>
          <w:color w:val="000000"/>
          <w:sz w:val="18"/>
        </w:rPr>
        <w:t>Diversity and Inclusion</w:t>
      </w:r>
      <w:r>
        <w:rPr>
          <w:rFonts w:ascii="Times New Roman" w:hAnsi="Times New Roman"/>
          <w:color w:val="000000"/>
          <w:sz w:val="18"/>
        </w:rPr>
        <w:t>. We believe that an equitable and inclusive environment with diverse teams produces more creative solutions, results in better, more innovative products and services and is crucial to our efforts to attract and retain key talent. Our current efforts are focused on four primary areas: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Safe work environment. We provide training to all employees to improve their understanding of behaviors that can be perceived as discriminatory, exclusionary, and/or harassing, and provide safe avenues for employees to report such behaviors.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Equal employment opportunity. We ensure that our practices and processes attract a diverse range of candidate, and that candidates are recruited, hired, paid, assigned, developed, and promoted based on merit and their alignment to our values.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Learning and development opportunities. To support our employees in reaching their full potential, we offer a wide range of internal and external learning and development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Community Involvement. We aim to give back to the communities where we live and work, and believe that this commitment helps in our efforts to attract and retain employees. We work with local universities to introduce and promote careers in science and biotechnology through internship opportunities.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Corporate Information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business and predecessor entity was founded in March 2007. In July 2020, we converted from a limited liability company into a Delaware corporation pursuant to a statutory conversion and changed our name to BioAtla, Inc. Our principal executive offices are located at 11085 Torreyana Road, San Diego, California 92121, and our telephone number is (858) 558-0708. Our corporate website address is www.bioatla.com. Information contained on, or that may be accessed through, our website is not incorporated by reference into this Annual Report on Form 10-K and should not be considered a part of this Annual Report on Form 10-K.</w:t>
      </w:r>
    </w:p>
    <w:p>
      <w:pPr>
        <w:pStyle w:val="TextBody"/>
        <w:bidi w:val="0"/>
        <w:spacing w:before="216" w:after="283"/>
        <w:jc w:val="left"/>
        <w:rPr>
          <w:rFonts w:ascii="Times New Roman" w:hAnsi="Times New Roman"/>
          <w:sz w:val="20"/>
        </w:rPr>
      </w:pPr>
      <w:r>
        <w:rPr>
          <w:rFonts w:ascii="Times New Roman" w:hAnsi="Times New Roman"/>
          <w:color w:val="000000"/>
          <w:sz w:val="18"/>
        </w:rPr>
        <w:t>We have obtained a registered trademark for BioAtla</w:t>
      </w: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18"/>
        </w:rPr>
        <w:t xml:space="preserve">in the United States. This Annual Report on Form 10-K contains references to our trademarks and to trademarks belonging to other entities. Solely for convenience, trademarks and trade names referred to in this Annual Report on Form 10-K, including logos, artwork and other visual displays, may appear without the </w:t>
      </w: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18"/>
        </w:rPr>
        <w:t xml:space="preserve">or </w:t>
      </w:r>
      <w:r>
        <w:rPr>
          <w:rFonts w:ascii="Times New Roman" w:hAnsi="Times New Roman"/>
          <w:color w:val="000000"/>
          <w:sz w:val="12"/>
        </w:rPr>
        <w:t xml:space="preserve">TM </w:t>
      </w:r>
      <w:r>
        <w:rPr>
          <w:rFonts w:ascii="Times New Roman" w:hAnsi="Times New Roman"/>
          <w:color w:val="000000"/>
          <w:sz w:val="18"/>
        </w:rPr>
        <w:t>symbols, but such references are not intended to indicate, in any way, that we will not assert, to the fullest extent under applicable law, our rights or the rights of the applicable licensor to these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trademarks and trade names. We do not intend our use or display of other companies’ trade names or trademarks to imply a relationship with, or endorsement or sponsorship of us by, any other companies.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Available Information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make available, free of charge through our website www.bioatla.com,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The SEC maintains an internet site (http://www.sec.gov) that contains reports, proxy and information statements, and other information regarding issuers that file electronically with the SEC.</w:t>
      </w:r>
    </w:p>
    <w:p>
      <w:pPr>
        <w:pStyle w:val="TextBody"/>
        <w:bidi w:val="0"/>
        <w:spacing w:before="320" w:after="283"/>
        <w:jc w:val="left"/>
        <w:rPr>
          <w:rFonts w:ascii="Times New Roman" w:hAnsi="Times New Roman"/>
          <w:b/>
          <w:color w:val="000000"/>
          <w:sz w:val="18"/>
        </w:rPr>
      </w:pPr>
      <w:bookmarkStart w:id="5" w:name="item_1a_risk_factors"/>
      <w:bookmarkEnd w:id="5"/>
      <w:r>
        <w:rPr>
          <w:rFonts w:ascii="Times New Roman" w:hAnsi="Times New Roman"/>
          <w:b/>
          <w:color w:val="000000"/>
          <w:sz w:val="18"/>
        </w:rPr>
        <w:t>ITEM 1A. Risk Factors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Risk Factor Summary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Investing in our common stock involves a high degree of risk. You should carefully consider all information in this Annual Report on Form 10-K before purchasing our common stock. These risks and uncertainties include, but are not limited to,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We are a clinical-stage biopharmaceutical company with a limited operating history and no products approved for commercial sale, and we have a history of significant losses and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product candidates may fail in development or suffer delays that adversely affect their commercial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are substantially dependent on the success of our patented CAB technology platform, and our future success depends heavily on the successful development of this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expend our resources to pursue particular product candidates and fail to capitalize on product candidates that may be more profitable or for which there is a greater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Results from early-stage clinical trials may not be predictive of results from late-stage or other clinical trials, and the results of our clinical trials may not satisfy the requirements of the FDA, EMA or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the commencement and completion of clinical trials could increase costs and delay or prevent regulatory approval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face competition from entities that have developed or may develop product candidates for cancer, including companies developing novel treatments and technology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unable to obtain U.S. or foreign regulatory approval and, as a result, unable to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Even if we receive regulatory approval for any of our product candidates, we will be subject to ongoing regulatory obligations and continued regulatory review, which may result in significant additional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fail to attract and retain qualified senior management and key scientific personnel, our business may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face risks related to health epidemics and outbreaks which could significantly disrupt our preclinical studies and could affect enrollment of patients in our clinical trials. Continuation and increasing severity of these conditions could delay or prevent our receipt of necessary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future issuance of equity or of debt securities that are convertible into equity will dilute our share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Risk Factors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Risks related to our financial position and need for additional capital</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$123.5 million and $106.5 million for the years ended December 31, 2023 and 2022, respectively. As of December 31, 2023, we had an accumulated deficit of $416.3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In the near term, we expect that these expenses begin to decrease as we complete enrollment for certain clinical trials, however, these expenses, and the potential for losses, may generally increase as we progress our lead product candidates through the regulatory approval process. We also expect that our expenses will vary as a result of macroeconomic factors, including inflation. For example, recently, several of our vendors have passed along price increases they have experienced in their own business as a result of inflation.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pStyle w:val="TextBody"/>
        <w:bidi w:val="0"/>
        <w:spacing w:before="108" w:after="283"/>
        <w:jc w:val="left"/>
        <w:rPr>
          <w:rFonts w:ascii="Times New Roman" w:hAnsi="Times New Roman"/>
          <w:sz w:val="20"/>
        </w:rPr>
      </w:pPr>
      <w:r>
        <w:rPr>
          <w:rFonts w:ascii="Times New Roman" w:hAnsi="Times New Roman"/>
          <w:color w:val="000000"/>
          <w:sz w:val="18"/>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will continue to incur significant expense in connection with our ongoing activities, particularly as we conduct clinical trials of, and seek</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marketing approval for, mecbotamab vedotin, ozuriftamab vedotin, evalstotug, and BA3182.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 of December 31, 2023, we had approximately $111.5 million in cash and cash equivalents. Based on our current operating plan, our current cash and cash equivalents are expected to be sufficient to fund our ongoing operations for a period of at least twelve months from the date the financial statements included in this report are issued. Our current operating plan includes prioritization of our programs and focusing on clinical development of selected assets and indications.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plan to use our existing cash and cash equivalents to fund the research and development of our product candidates and development programs, and to fund working capital and other general corporate purposes.</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and progress of our ongoing clinical trials for mecbotamab vedotin, ozuriftamab vedotin, evalstotug, and BA3182;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number and scope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progress of our collaborators with whom we have entered, or may in the future enter, into collaboration agreements and research and development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and amount of milestone payments we may receive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maintain our current licenses, collaboration and research and development programs or possibly establish new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costs involved in prosecuting and enforcing patent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cost and timing of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efforts to enhance operational systems and hire additional personnel, including personnel to support development of our product candidates and satisfy our obligations as a public company.</w:t>
      </w:r>
    </w:p>
    <w:p>
      <w:pPr>
        <w:pStyle w:val="TextBody"/>
        <w:bidi w:val="0"/>
        <w:spacing w:before="216" w:after="283"/>
        <w:jc w:val="left"/>
        <w:rPr>
          <w:rFonts w:ascii="Times New Roman" w:hAnsi="Times New Roman"/>
          <w:sz w:val="20"/>
        </w:rPr>
      </w:pPr>
      <w:r>
        <w:rPr>
          <w:rFonts w:ascii="Times New Roman" w:hAnsi="Times New Roman"/>
          <w:color w:val="000000"/>
          <w:sz w:val="18"/>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Additionally, although we had no direct exposure to the March 2023 failure of Silicon Valley Bank, its potential near- and long-term effects on the biotechnology industry and its participants such as our vendors, suppliers, collaborators and investors, may also adversely affect our financial condition, operations and stock price.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financings,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dividends. If we are unable to obtain additional funding from these or other sources, it may be necessary to significantly reduce our rate of spending through reductions in staff and delay, scale back or stop certain research and development programs.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invest a portion of our cash in a money market fund, which is vulnerable to market-specific risks that could adversely affect our business and financial condition.</w:t>
      </w:r>
    </w:p>
    <w:p>
      <w:pPr>
        <w:pStyle w:val="TextBody"/>
        <w:bidi w:val="0"/>
        <w:spacing w:before="216" w:after="283"/>
        <w:jc w:val="left"/>
        <w:rPr>
          <w:rFonts w:ascii="Times New Roman" w:hAnsi="Times New Roman"/>
          <w:sz w:val="20"/>
        </w:rPr>
      </w:pPr>
      <w:r>
        <w:rPr>
          <w:rFonts w:ascii="Times New Roman" w:hAnsi="Times New Roman"/>
          <w:color w:val="000000"/>
          <w:sz w:val="18"/>
        </w:rPr>
        <w:t>We invest a portion of our cash in a money market fund backed by U.S. government securities. All securities are subject to risk, including fluctuations in interest rates, credit risk, market risk and systemic economic risk. Changes or movements in any of these investment-related risk items may result in a loss or impairment to our invested cash and may have a material adverse effect on our business and financial condition.</w:t>
      </w:r>
      <w:r>
        <w:rPr>
          <w:rFonts w:ascii="Times New Roman" w:hAnsi="Times New Roman"/>
          <w:color w:val="000000"/>
          <w:sz w:val="20"/>
        </w:rPr>
        <w:t xml:space="preserve"> </w:t>
      </w:r>
    </w:p>
    <w:p>
      <w:pPr>
        <w:pStyle w:val="TextBody"/>
        <w:bidi w:val="0"/>
        <w:spacing w:before="210" w:after="283"/>
        <w:jc w:val="left"/>
        <w:rPr>
          <w:rFonts w:ascii="Times New Roman" w:hAnsi="Times New Roman"/>
          <w:b/>
          <w:color w:val="000000"/>
          <w:sz w:val="18"/>
        </w:rPr>
      </w:pPr>
      <w:r>
        <w:rPr>
          <w:rFonts w:ascii="Times New Roman" w:hAnsi="Times New Roman"/>
          <w:b/>
          <w:color w:val="000000"/>
          <w:sz w:val="18"/>
        </w:rPr>
        <w:t>Risks related to the discovery, development and commercialization of our product candidates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no products on the market and our product candidates are in various stages of development. We are currently conducting Phase 2 clinical trials of mecbotamab vedotin, ozuriftamab vedotin, and evalstotug; we have begun dosing patients in our Phase 1 trial of BA3182 and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our clinical trials resulting from external factors including global conflicts and health epidemics;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negative or inconclusive results from preclinical testing or clinical trials leading to a decision or requirement to conduct additional preclinical testing or clinical trials or abandon a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product-related side effects experienced by participants in clinical trials or by individuals using therapeutic biologics that share characteristics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conditions imposed by the FDA or comparable foreign authorities, including the EMA, regarding the scope or design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enrolling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high drop-out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inadequate drug materials or other supplies necessary for the conduct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greater than anticipated clinical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poor effectiveness of our product candidates during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unfavorable FDA or other regulatory agency inspection and review of a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deficiencies in our third-party manufacturers’ manufacturing processes or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failure of any third-party contractors, investigators or contract research organizations, or CROs, to comply with regulatory requirements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and changes in regulatory requirements, policy and guidelines, including the imposition of additional regulatory oversight around clinical testing generally or with respect to our technology or product candidates in particular;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varying interpretations of data by the FDA and similar foreign regulatory agencies, including the EMA.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Because CABs represent a new generation of antibodies, a delay or failure in development of any CAB product candidate could represent a major set-back for our patented technology platform and for our company generally.</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Results from early-stage clinical trials may not be predictive of results from late-stage or other clinical trials, and the results of our clinical trials may not satisfy the requirements of the FDA, EMA or other comparable foreign regulatory authorities.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or in any subsequent or post-marketing confirmatory clinical trials. 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and we cannot assure you that the FDA will agree that the results from our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Furthermore, in 2023, enrollment was completed in multi-center investigator-initiated clinical trials in Canada of mecbotamab vedotin and ozuriftamab vedotin in patients with platinum-resistant ovarian cancer using the lower effective dose of 1.8mg/kg Q2W of the two doses available.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these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are substantially dependent on the success of our patented CAB technology platform, and our future success depends heavily on the successful development of this platform.</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be successful in our efforts to use and expand our patented CAB technology platform to continue to build a pipeline of product candidates and develop marketable products.</w:t>
      </w:r>
    </w:p>
    <w:p>
      <w:pPr>
        <w:pStyle w:val="TextBody"/>
        <w:bidi w:val="0"/>
        <w:spacing w:before="108" w:after="283"/>
        <w:jc w:val="left"/>
        <w:rPr>
          <w:rFonts w:ascii="Times New Roman" w:hAnsi="Times New Roman"/>
          <w:sz w:val="20"/>
        </w:rPr>
      </w:pPr>
      <w:r>
        <w:rPr>
          <w:rFonts w:ascii="Times New Roman" w:hAnsi="Times New Roman"/>
          <w:color w:val="000000"/>
          <w:sz w:val="18"/>
        </w:rPr>
        <w:t>We are using our patented technology platform to develop CABs in oncology indications with our lead product candidates mecbotamab vedotin, ozuriftamab vedotin, evalstotug, and BA3182, as well as continuing to build our pipeline of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to obtain product, licensing or collaboration revenue in future periods, which would adversely affect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expend our resources to pursue particular product candidates and fail to capitalize on product candidates that may be more profitable or for which there is a greater likelihood of success.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For example, we are exploring potential strategic collaboration with third parties to accelerate development of certain assets. In addition, we have no plans to internally explore additional dosing regimens for certain indications, and do not intend to pursue ovarian cancer, and are focusing development on selected assets and indications.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the market opportunities for any product that we develop are smaller than we believe they are, our revenue may be adversely affected and our business may suffer.</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focus our product candidate development on therapeutic CAB antibodies for the treatment of various oncology indications, such as soft tissue and bone sarcoma, NSCLC, melanoma,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of our receipt of any marketing and commercialization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terms of any approvals and the countries in which approvals are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safety and efficacy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prevalence and severity of any adverse side effects associated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limitations or warnings contained in any labeling approved by the FDA or other regulatory authority, including the EMA;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willingness of patients to obtain new biopsies or consent to provide existing tumor tissue specimens to support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relative convenience and ease of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willingness of patients to accept any new methods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success of any physician education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availability of adequate government and third-party payor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pricing of our products, particularly as compared to alternative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availability of alternative effective treatments for the disease indications our product candidates are intended to treat and the relative risks, benefits and costs of those treatments.</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If any product candidate we commercialize fails to achieve market acceptance, it could have a material and adverse effect on our business, financial condition, results of operations and prospects.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Delays in the commencement and completion of clinical trials could increase costs and delay or prevent regulatory approval and commercialization of our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negative preclinical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receiving the required regulatory clearance from the appropriate regulatory authorities to commence clinical trials or amend clinical trial protocols, including any objections to our INDs or protocol amendments from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reaching, or a failure to reach, a consensus with regulatory authorities on study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reaching, or failure to reach, agreement on acceptable terms with prospective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in obtaining IRB approval at each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challenges in recruiting suitable patients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inability to enroll a sufficient number of patients in clinical trials to ensure adequate statistical power to detect statistically significant treatment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in having patients complete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CROs or clinical trial sites failing to comply with regulatory requirements or meet their contractual obligations to us in a timely manner, or at all, deviating from the protocol or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unforeseen safety issues, including occurrence of treatment emergent adverse events, or TEAEs, associated with the product candidate that are viewed to outweigh the product candidate’s potential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in adding new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ambiguous or negative interim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in manufacturing sufficient quantities of product candidate acceptable for use in clinical trials in a timely manner, or at all;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health epidemics and outbreaks, including the COVID-19 pandemic, which in the past has resulted in, and in the future may result in, delays to patient enrollment, patients discontinuing their treatment or follow up visits or changes to trial protocols.</w:t>
      </w:r>
    </w:p>
    <w:p>
      <w:pPr>
        <w:pStyle w:val="TextBody"/>
        <w:bidi w:val="0"/>
        <w:spacing w:before="216" w:after="283"/>
        <w:jc w:val="left"/>
        <w:rPr>
          <w:rFonts w:ascii="Times New Roman" w:hAnsi="Times New Roman"/>
          <w:sz w:val="20"/>
        </w:rPr>
      </w:pPr>
      <w:r>
        <w:rPr>
          <w:rFonts w:ascii="Times New Roman" w:hAnsi="Times New Roman"/>
          <w:color w:val="000000"/>
          <w:sz w:val="18"/>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Enrollment and retention of patients in clinical trials is an expensive and time-consuming process and could be made more difficult or rendered impossible by multiple factors outside our control.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health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our clinical trials for our antibody-drug conjugates mecbotamab vedotin and ozuriftamab vedotin, we have observed adverse events such as reversible myelosuppression, transient liver enzyme elevations, pyrexia, or fever, metabolic disturbances and peripheral neuropathy. In our clinical trial for evalstotug, we have observed infusion-related reactions and immune-related adverse events. We may also observe undesirable side effects in clinical trials for our other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ozuriftamab vedotin, and evalstotug have demonstrated manageable tolerability profiles thus far, we cannot assure you that these and our other product candidates will not cause more severe side effects in a greater proportion of patients.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mecbotamab vedotin, ozuriftamab vedotin, and evalstotug are being studied in combination with other therapies, which may exacerbate adverse events associated with the therapy. Patients treated with mecbotamab vedotin, ozuriftamab vedotin or our other product candidates may also be undergoing surgical, radiation or chemotherapy treatments, which can cause side effects or adverse events that are unrelated to our product candidate but may still impact the success of our clinical trials.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mecbotamab vedotin and ozuriftamab vedotin clinical trials may die or experience major clinical events either during the course of our clinical trials or after participating in such trials due mainly to the gravity of their illness, which has occurred in the past.</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In the event that any of our product candidates receive regulatory approval, and we or others later identify undesirable and unforeseen side effects caused by such product, negative consequences, including any of the following, could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authorities may suspend, limit or withdraw their approval of such product, or seek an injunction against its manufacture or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required to conduct additional clinical trials or post-approval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requested or required to recall a product or change the way such product is administered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additional restrictions may be imposed on the marketing of the particular product or the manufacturing processes for the product or any component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required to implement a REMS and/or create a Medication Guide outlining the risks of such side effects for distribution to patients, a communication plan for healthcare providers and/or other elements to assure safe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reputation may suffer.</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are developing certain of our product candidates in combination with other therapies, and regulatory approval, safety or supply issues with these other therapies may delay or prevent the development and approval of our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Currently, we are evaluating the use of each of mecbotamab vedotin, ozuriftamab vedotin, and evalstotug in combination with an anti-PD-1 inhibitor.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pStyle w:val="TextBody"/>
        <w:bidi w:val="0"/>
        <w:spacing w:before="108" w:after="283"/>
        <w:jc w:val="left"/>
        <w:rPr>
          <w:rFonts w:ascii="Times New Roman" w:hAnsi="Times New Roman"/>
          <w:sz w:val="20"/>
        </w:rPr>
      </w:pPr>
      <w:r>
        <w:rPr>
          <w:rFonts w:ascii="Times New Roman" w:hAnsi="Times New Roman"/>
          <w:color w:val="000000"/>
          <w:sz w:val="18"/>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br/>
      </w:r>
      <w:r>
        <w:rPr>
          <w:rFonts w:ascii="Times New Roman" w:hAnsi="Times New Roman"/>
          <w:color w:val="000000"/>
          <w:sz w:val="20"/>
        </w:rPr>
        <w:t> </w:t>
      </w:r>
    </w:p>
    <w:p>
      <w:pPr>
        <w:pStyle w:val="TextBody"/>
        <w:bidi w:val="0"/>
        <w:spacing w:before="108" w:after="283"/>
        <w:jc w:val="left"/>
        <w:rPr>
          <w:rFonts w:ascii="Times New Roman" w:hAnsi="Times New Roman"/>
          <w:sz w:val="20"/>
        </w:rPr>
      </w:pPr>
      <w:r>
        <w:rPr>
          <w:rFonts w:ascii="Times New Roman" w:hAnsi="Times New Roman"/>
          <w:color w:val="000000"/>
          <w:sz w:val="18"/>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br/>
      </w:r>
      <w:r>
        <w:rPr>
          <w:rFonts w:ascii="Times New Roman" w:hAnsi="Times New Roman"/>
          <w:color w:val="000000"/>
          <w:sz w:val="20"/>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pStyle w:val="TextBody"/>
        <w:bidi w:val="0"/>
        <w:spacing w:before="216" w:after="283"/>
        <w:jc w:val="left"/>
        <w:rPr>
          <w:rFonts w:ascii="Times New Roman" w:hAnsi="Times New Roman"/>
          <w:sz w:val="20"/>
        </w:rPr>
      </w:pPr>
      <w:r>
        <w:rPr>
          <w:rFonts w:ascii="Times New Roman" w:hAnsi="Times New Roman"/>
          <w:color w:val="000000"/>
          <w:sz w:val="18"/>
        </w:rPr>
        <w:t xml:space="preserve">If use of a companion diagnostic test is determined to be essential for the safe and effective use of any of our product candidates, such as mecbotamab vedotin and ozuriftamab vedotin, then the FDA generally will require approval or clearance of that companion diagnostic before or at the same time that the FDA approves our product candidates, if at all. The FDA has generally required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have in the past explored predictive biomarkers, such as the TmPS, which measures AXL and ROR2 expression levels on the tumor membrane, to help inform which patients may be most suitable for treatment with mecbotamab vedotin and ozuriftamab vedotin. Currently, patients with negative or only 1% TmPS scores have experienced clinical benefit in our ongoing clinical trials. However, if the AXL and/or ROR2 TmPS scores predict those most likely to experience clinical benefit, we may be required to pursue the further use of a companion diagnostic in our mecbotamab vedotin or ozuriftamab vedotin clinical trials, and the available market for mecbotamab vedotin or ozuriftamab vedotin, both in patient numbers and patient acceptance of the protocol, could be limited. In addition, we expect to rely on third parties for the design, development and manufacture of companion diagnostic tests for any of our product candidates that require such tests.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of our programs.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biologic product candidates for which we intend to seek approval may face competition through an abbreviated pathway.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pStyle w:val="TextBody"/>
        <w:bidi w:val="0"/>
        <w:spacing w:before="108" w:after="283"/>
        <w:jc w:val="left"/>
        <w:rPr>
          <w:rFonts w:ascii="Times New Roman" w:hAnsi="Times New Roman"/>
          <w:sz w:val="20"/>
        </w:rPr>
      </w:pPr>
      <w:r>
        <w:rPr>
          <w:rFonts w:ascii="Times New Roman" w:hAnsi="Times New Roman"/>
          <w:color w:val="000000"/>
          <w:sz w:val="18"/>
        </w:rPr>
        <w:t>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business entails a significant risk of product liability, and if we are unable to obtain sufficient insurance coverage, such failure could have a material and adverse effect on our business, financial condition, results of operations and prospects.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Risks related to regulatory approval and other legal compliance matters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We may be unable to obtain U.S. or foreign regulatory approval and, as a result, unable to commercialize our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Equity, which is an initiative to ensure that the data submitted to the FDA for approval of oncology medical products adequately reflects the demographic representation of patients for whom the medical products are intended. We are considering these and other policy changes as they relate to our programs.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our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FDA or comparable foreign regulatory authorities may disagree with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we may be unable to demonstrate to the satisfaction of the FDA or comparable foreign regulatory authorities that a product candidate is safe, pure and potent for its proposed indication;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results of clinical trials may fail to achieve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unable to demonstrate that the dose for the product candidate has been optimized;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unable to demonstrate a sufficient response rate or duration of response for a product candidate;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FDA or comparable foreign regulatory authorities may disagree with our interpretation of data submitted in support of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or our contractors may not meet the current Good Manufacturing Practices, or cGMPs, and other applicable requirements for manufacturing processes, procedures, documentation and facilities necessary for approval by the FDA or comparable foreign regulatory authorities.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intend to seek accelerated approval for mecbotamab vedotin, and we may seek accelerated approval for one or more of our other product candidates. Under the accelerated approval program, the FDA may grant accelerated approval to a product candidate designed to treat a serious or life-threatening condition that provides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a meaningful advantage over the approved product.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208" w:after="283"/>
        <w:jc w:val="left"/>
        <w:rPr>
          <w:rFonts w:ascii="Times New Roman" w:hAnsi="Times New Roman"/>
          <w:color w:val="000000"/>
          <w:sz w:val="18"/>
        </w:rPr>
      </w:pPr>
      <w:r>
        <w:rPr>
          <w:rFonts w:ascii="Times New Roman" w:hAnsi="Times New Roman"/>
          <w:color w:val="000000"/>
          <w:sz w:val="18"/>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08" w:after="283"/>
        <w:jc w:val="left"/>
        <w:rPr>
          <w:rFonts w:ascii="Times New Roman" w:hAnsi="Times New Roman"/>
          <w:sz w:val="20"/>
        </w:rPr>
      </w:pPr>
      <w:r>
        <w:rPr>
          <w:rFonts w:ascii="Times New Roman" w:hAnsi="Times New Roman"/>
          <w:color w:val="000000"/>
          <w:sz w:val="18"/>
        </w:rPr>
        <w:t>Recently, the accelerated approval pathway has come under scrutiny within the FDA and by Congress.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 The enactment of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w:t>
        <w:br/>
        <w:br/>
      </w:r>
      <w:r>
        <w:rPr>
          <w:rFonts w:ascii="Times New Roman" w:hAnsi="Times New Roman"/>
          <w:b/>
          <w:i/>
          <w:color w:val="000000"/>
          <w:sz w:val="18"/>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restrictions on the marketing or manufacturing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fines, warning or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 of approval or refusal by the FDA or comparable regulatory authorities in other jurisdictions to approve pending applications or supplements to approved applications filed by us, our current collaborator or any future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suspension or revocation of product license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injunctions or the imposition of civil or criminal penalties.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Even if we are able to commercialize any product candidate, such product candidate may become subject to unfavorable pricing regulations or third-party coverage and reimbursement policies, which would harm our business.</w:t>
      </w:r>
    </w:p>
    <w:p>
      <w:pPr>
        <w:pStyle w:val="TextBody"/>
        <w:bidi w:val="0"/>
        <w:spacing w:before="108" w:after="283"/>
        <w:jc w:val="left"/>
        <w:rPr>
          <w:rFonts w:ascii="Times New Roman" w:hAnsi="Times New Roman"/>
          <w:sz w:val="20"/>
        </w:rPr>
      </w:pPr>
      <w:r>
        <w:rPr>
          <w:rFonts w:ascii="Times New Roman" w:hAnsi="Times New Roman"/>
          <w:color w:val="000000"/>
          <w:sz w:val="18"/>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some countries, particularly member states of the European Union (EU),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may be significant delays in obtaining reimbursement for newly 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FDA and other regulatory agencies actively enforce the laws and regulations prohibiting the promotion of off-label uses.</w:t>
      </w:r>
    </w:p>
    <w:p>
      <w:pPr>
        <w:pStyle w:val="TextBody"/>
        <w:bidi w:val="0"/>
        <w:spacing w:before="108" w:after="283"/>
        <w:jc w:val="left"/>
        <w:rPr>
          <w:rFonts w:ascii="Times New Roman" w:hAnsi="Times New Roman"/>
          <w:sz w:val="20"/>
        </w:rPr>
      </w:pPr>
      <w:r>
        <w:rPr>
          <w:rFonts w:ascii="Times New Roman" w:hAnsi="Times New Roman"/>
          <w:color w:val="000000"/>
          <w:sz w:val="18"/>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mecbotamab vedotin as a treatment for soft tissue and bone sarcoma, physicians may nevertheless use our product for their patients in a manner that is inconsistent with the approved labeling. If we are found to have promoted such off-label uses, we may become subject to significant liability.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Disruptions at the FDA and other agencies may also slow the time necessary for new drugs to be reviewed or approved by necessary government agencies, which would adversely affect our business. For example, in recent years, notably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October 26, 2023, the FDA issued a draft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it determines it is appropriate based on mission needs and any travel limitations. Regulatory authorities outside the United States may adopt similar restrictions or other policy measures.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FDA, EMA and other comparable foreign regulatory authorities may not accept data from trials conducted in locations outside of their jurisdiction.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employees, independent contractors, principal investigators, CROs, consultants, suppliers and vendors may engage in misconduct or other improper activities, including noncompliance with regulatory standards and requirements.</w:t>
      </w:r>
    </w:p>
    <w:p>
      <w:pPr>
        <w:pStyle w:val="TextBody"/>
        <w:bidi w:val="0"/>
        <w:spacing w:before="108" w:after="283"/>
        <w:jc w:val="left"/>
        <w:rPr>
          <w:rFonts w:ascii="Times New Roman" w:hAnsi="Times New Roman"/>
          <w:sz w:val="20"/>
        </w:rPr>
      </w:pPr>
      <w:r>
        <w:rPr>
          <w:rFonts w:ascii="Times New Roman" w:hAnsi="Times New Roman"/>
          <w:color w:val="000000"/>
          <w:sz w:val="18"/>
        </w:rPr>
        <w:t>We are exposed to the risk that our employees, independent contractors, principal investigators, CROs, consultants, suppliers and vendors may engage in fraudulent conduct or other illegal activity. Misconduct by these parties could include intentional, reckless and/or negligent conduct or disclosure of unauthorized activities to us that violates: (i) FDA laws and regulations, including those laws that require the reporting of true, complete and accurate information to the FDA, (ii) manufacturing standards, (iii) federal and state healthcare fraud and abuse laws and regulations or (iv)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 including exclusion from government healthcare programs, and serious harm to our reputation.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Healthcare legislative reform measures may have a material adverse effect on our business and results of operations.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216" w:after="283"/>
        <w:jc w:val="left"/>
        <w:rPr>
          <w:rFonts w:ascii="Times New Roman" w:hAnsi="Times New Roman"/>
          <w:sz w:val="20"/>
        </w:rPr>
      </w:pPr>
      <w:r>
        <w:rPr>
          <w:rFonts w:ascii="Times New Roman" w:hAnsi="Times New Roman"/>
          <w:color w:val="000000"/>
          <w:sz w:val="18"/>
        </w:rPr>
        <w:t>In addition, in the United States, there have been and continue to be a number of legislative initiatives to contain healthcare costs. Previously, in March 2010, the ACA was enacted, which was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Healthcare reform initiatives recently culminated in the enactment of the Inflation Reduction Act, or IRA, in August 2022, which, among other things, allows HHS to directly negotiate the selling price of a statutorily specified number of drugs and biologics each year that CMS reimburses under Medicare Part B and Part D. Only high-expenditure single-source biologics that have been approved for at least 11 years (7 years for drugs) are eligible to be selected by CMS for negotiation, with the negotiated price taking effect two years after the selection year. Negotiations for Medicare Part D products take place in 2024 with the negotiated price taking effect in 2026, and negotiations for Medicare Part B products will begin in 2026 with the negotiated price taking effect in 2028. In August 2023, HHS announced the ten Medicare Part D drugs and biologics that it selected for negotiations. HHS will announce the negotiated maximum fair prices by September 1, 2024, and this price cap, which cannot exceed a statutory ceiling price, will go into effect on January 1, 2026. A drug or biological product that has an orphan drug designation for only one rare disease or condition will be excluded from the IRA’s price negotiation requirements, but will lose that exclusion if it receives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negotiated prices will represent a significant discount from average prices to wholesalers and direct purchasers. The law also imposes rebates on Medicare Part D and Part B drugs whose prices have increased at a rate greater than the rate of inflation. The IRA also extends enhanced subsidies for individuals purchasing health insurance coverage in ACA marketplaces through plan year 2025. Manufacturers that fail to comply with the IRA may be subject to various penalties, including civil monetary penalties. The IRA permits the Secretary of HHS to implement many of these provisions through guidance, as opposed to regulation, for the initial years. These provisions may be subject to legal challenges. For example, the provisions related to the negotiation of selling prices of high-expenditure single-source drugs and biologics have been challenged in multiple lawsuits. Thus, while it is unclear how the IRA will be implemented, it will likely have a significant impact on the pharmaceutical industry. It is unclear to what extent other statutory, regulatory, and administrative initiatives will be enacted and implemented, and to what extent these or any future legislation or regulations by the Biden administration or subsequent administrations will have on our business, including market acceptance, and sales, of our products and product candidates.</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FDA authorized the first such plan in Florida in January 2024.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federal and state consumer protection and unfair competition laws, which broadly regulate marketplace activities and activities that potentially harm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information related to drug pricing, including price increases. State and local laws require the registration of pharmaceutical sales representatives.</w:t>
      </w:r>
    </w:p>
    <w:p>
      <w:pPr>
        <w:pStyle w:val="TextBody"/>
        <w:bidi w:val="0"/>
        <w:spacing w:before="216" w:after="283"/>
        <w:jc w:val="left"/>
        <w:rPr>
          <w:rFonts w:ascii="Times New Roman" w:hAnsi="Times New Roman"/>
          <w:sz w:val="20"/>
        </w:rPr>
      </w:pPr>
      <w:r>
        <w:rPr>
          <w:rFonts w:ascii="Times New Roman" w:hAnsi="Times New Roman"/>
          <w:color w:val="000000"/>
          <w:sz w:val="18"/>
        </w:rPr>
        <w:t>Foreign and state laws also govern the privacy and security of health information in some circumstances, many of which differ from each other in significant ways and often are not preempted by HIPAA, thus complicating compliance efforts. For instance, the collection and use of health data in the EU is governed by the General Data Protection Regulation, or the GDPR, which extends the geographical scope of EU data protection law to non-EU entities under certain conditions, tightens existing EU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 which could further complicate compliance efforts, increase our potential liability and adversely affect our business.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fail to comply with U.S. and foreign regulatory requirements, regulatory authorities could limit or withdraw any marketing or commercialization approvals we may receive and subject us to other penalties that could materially harm our business.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research and development activities could be affected or delayed as a result of possible restrictions on animal testing.</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Certain laws and regulations may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and our third-party contractors must comply with environmental, health and safety laws and regulations. A failure to comply with these laws and regulations could expose us to significant costs or liabilities.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Risks related to employee matters, managing our growth and other risks related to our business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If we fail to attract and retain qualified senior management and key clinical and scientific personnel, our business may be materially and adversely affected.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In order to successfully implement our plans and strategies, we will need to grow the size of our organization, and we may experience difficulties in managing this growth.</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of December 31, 2023, we had 65 employees, and 21 dedicated independent contractors based in China and engaged through our agreement with BioDuro-Sundia, a provider of preclinical development services. 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managing our internal development efforts effectively, including the clinical and regulatory review process for mecbotamab vedotin, ozuriftamab vedotin, evalstotug, BA3182, and any other product candidates, while complying with our contractual obligations to contractors and other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improving our operational, financial and management controls, reporting systems and procedures.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future financial performance and our ability to successfully develop and, if approved, commercialize mecbotamab vedotin, ozuriftamab vedotin, evalstotug, BA3182,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evalstotug, BA3182,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evalstotug, BA3182, and any future product candidates and, accordingly, may not achieve our research, development and commercialization goals.</w:t>
      </w:r>
    </w:p>
    <w:p>
      <w:pPr>
        <w:pStyle w:val="TextBody"/>
        <w:bidi w:val="0"/>
        <w:spacing w:before="324" w:after="283"/>
        <w:jc w:val="left"/>
        <w:rPr>
          <w:rFonts w:ascii="Times New Roman" w:hAnsi="Times New Roman"/>
          <w:sz w:val="20"/>
        </w:rPr>
      </w:pPr>
      <w:r>
        <w:rPr>
          <w:rFonts w:ascii="Times New Roman" w:hAnsi="Times New Roman"/>
          <w:b/>
          <w:i/>
          <w:color w:val="000000"/>
          <w:sz w:val="18"/>
        </w:rPr>
        <w:t>Our employees and independent contractors, including principal investigators, CROs, consultants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08" w:after="283"/>
        <w:jc w:val="left"/>
        <w:rPr>
          <w:rFonts w:ascii="Times New Roman" w:hAnsi="Times New Roman"/>
          <w:sz w:val="20"/>
        </w:rPr>
      </w:pPr>
      <w:r>
        <w:rPr>
          <w:rFonts w:ascii="Times New Roman" w:hAnsi="Times New Roman"/>
          <w:color w:val="000000"/>
          <w:sz w:val="18"/>
        </w:rPr>
        <w:t>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depend on our information technology systems and those of our CROs, manufacturers, contractors and consultants. Our internal computer systems, such as our enterprise resource planning ("ERP") system,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and telecommunication and electrical failures.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operate our ERP system and other key business systems on SaaS platforms. Accordingly, we depend on these systems, and the third-party providers of these services, for a number of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conduct preclinical research and development activities in China through BioDuro-Sundia, which is U.S. owned, but governed by Chinese laws, rules and regulations. Additionally, our agreement with Himalaya Therapeutics Limited Company is for the initiation of clinical trials of evalstotug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such as recent step up of military exercises around Taiwan by China.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from a master cell bank which are stored in multiple locations to reduce the risk of loss.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business is subject to economic, political, regulatory and other risks associated with conducting business internationally.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our collaborators or licensees may seek regulatory approval of our product candidates outside of the United States including in China, the EU,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differing regulatory requirements and reimbursement regimes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compliance with tax, employment, immigration and labor laws for employees living or traveling abroad;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potential liability under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business interruptions resulting from geo-political actions, including war and terrorism.</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Additionally, in February 2022, armed conflict escalated between Russia and Ukraine, and in October 2023, armed conflict escalated between Israel and Hamas, including in the Gaza Strip. It is not possible to predict the broader consequences of these conflicts, which could include further sanctions, embargoes, greater regional instability, geopolitical shifts and other adverse effects on macroeconomic conditions, currency exchange rates, supply chains and financial markets. These and other risks associated with our international operations may materially adversely affect our ability to attain or maintain profitable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face risks related to health epidemics and outbreaks, including the COVID-19 pandemic, which could significantly disrupt our preclinical studies, affect enrollment of patients in our clinical trials or delay or prevent our receipt of necessary regulatory approvals.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which in the case of COVID-19 has occurred. Although the U.S. federal government has declared an end to the public health emergency related to the COVID-19 pandemic and many activities worldwide have returned to normal, the COVID-19 pandemic in the past has resulted in, and in the future may result in, governments implementing numerous containment measures, such as travel bans and restrictions, particularly quarantines, shelter-in-place or total lock-down orders and business limitations and shutdowns.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are following, and plan to continue to follow, recommendations from federal, state and local governments regarding workplace policies, practices and procedures. We are complying with all applicable guidelines for our clinical trials, including remote clinical monitoring. We are continuing to monitor the potential impact of the pandemic, but even though many restrictions aimed at minimizing the spread of COVID-19 have been eased or lifted in the U.S. and other countries, we cannot be certain what the overall impact will be on our business, financial condition, results of operations and prospects.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the COVID-19 pandemic in the past has had, and in the future may have, a severe effect on the clinical trials of many drug candidates of several sponsors. The extent to which the COVID-19 pandemic may impact our preclinical and clinical trial operations is uncertain and will depend on future developments, including the severity and duration of any resurgence of COVID-19 and its variants. To date, we have experienced modest business disruptions, including with respect to the clinical trials we are conducting, and non-material impairments as a result of the pandemic. A resurgence of COVID-19 or any of its variants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an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pStyle w:val="TextBody"/>
        <w:bidi w:val="0"/>
        <w:spacing w:before="210" w:after="283"/>
        <w:jc w:val="left"/>
        <w:rPr>
          <w:rFonts w:ascii="Times New Roman" w:hAnsi="Times New Roman"/>
          <w:b/>
          <w:color w:val="000000"/>
          <w:sz w:val="18"/>
        </w:rPr>
      </w:pPr>
      <w:r>
        <w:rPr>
          <w:rFonts w:ascii="Times New Roman" w:hAnsi="Times New Roman"/>
          <w:b/>
          <w:color w:val="000000"/>
          <w:sz w:val="18"/>
        </w:rPr>
        <w:t>Risks related to our dependence on third parties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pStyle w:val="TextBody"/>
        <w:bidi w:val="0"/>
        <w:spacing w:before="108" w:after="283"/>
        <w:jc w:val="left"/>
        <w:rPr>
          <w:rFonts w:ascii="Times New Roman" w:hAnsi="Times New Roman"/>
          <w:sz w:val="20"/>
        </w:rPr>
      </w:pPr>
      <w:r>
        <w:rPr>
          <w:rFonts w:ascii="Times New Roman" w:hAnsi="Times New Roman"/>
          <w:color w:val="000000"/>
          <w:sz w:val="18"/>
        </w:rPr>
        <w:t>We have entered, and may in the future seek to enter, into collaborations with third parties for the development and commercialization of certain of our product candidates. In addition, we are currently exploring potential third-party collaborators for development and commercialization of select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sz w:val="20"/>
        </w:rPr>
      </w:pPr>
      <w:r>
        <w:rPr>
          <w:rFonts w:ascii="Times New Roman" w:hAnsi="Times New Roman"/>
          <w:color w:val="000000"/>
          <w:sz w:val="18"/>
        </w:rPr>
        <w:t>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br/>
      </w:r>
      <w:r>
        <w:rPr>
          <w:rFonts w:ascii="Times New Roman" w:hAnsi="Times New Roman"/>
          <w:color w:val="000000"/>
          <w:sz w:val="20"/>
        </w:rPr>
        <w:t> </w:t>
      </w:r>
    </w:p>
    <w:p>
      <w:pPr>
        <w:pStyle w:val="TextBody"/>
        <w:bidi w:val="0"/>
        <w:spacing w:before="216" w:after="283"/>
        <w:jc w:val="left"/>
        <w:rPr>
          <w:rFonts w:ascii="Times New Roman" w:hAnsi="Times New Roman"/>
          <w:sz w:val="20"/>
        </w:rPr>
      </w:pPr>
      <w:r>
        <w:rPr>
          <w:rFonts w:ascii="Times New Roman" w:hAnsi="Times New Roman"/>
          <w:color w:val="000000"/>
          <w:sz w:val="18"/>
        </w:rPr>
        <w:t>Our existing collaboration arrangements currently pose, and future collaborations involving our product candidates will pose, the following risks to us:</w:t>
        <w:br/>
      </w:r>
      <w:r>
        <w:rPr>
          <w:rFonts w:ascii="Times New Roman" w:hAnsi="Times New Roman"/>
          <w:color w:val="000000"/>
          <w:sz w:val="20"/>
        </w:rPr>
        <w:t> </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have significant discretion in determining the efforts and resources that they will apply to these collaborations;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with marketing, manufacturing and distribution rights to one or more products may not commit sufficient resources to or otherwise not perform satisfactorily in carrying out these activities;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could grant exclusive rights to our collaborators that would prevent us from collaborating with others;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infringe the intellectual property rights of third parties, which may expose us to litigation and potential liability;</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disputes may arise with respect to the ownership of any intellectual property developed pursuant to our collaborations;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collaborations may be terminated and, if terminated, this may result in a need for additional capital to pursue further development or commercialization of the applicable current or future product candidates; and</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sales and marketing activities or other operations may not be in compliance with applicable laws resulting in civil or criminal proceedings.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be successful in establishing commercialization collaborations, which could adversely affect our ability to commercialize our product candidates, if approved.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From time to time, we may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Moreover, such arrangements are complex and time-consuming to negotiate, document and implement and they may require substantial resources to maintain.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There is currently a shortage of animals available for drug development due to an increase in demand from companies conducting research in the U.S., EU, and China. This has caused the cost of obtaining animals for our preclinical studies to increase dramatically, and if the shortage continues, could also result in delays to our development timelines.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Additionally, in January 2024, there was congressional activity, including the introduction of the BIOSECURE Act in the House of Representatives and a substantially similar Senate bill. If these bills became law, or similar laws are passed, they would have the potential to severely restrict the ability of U.S. biopharmaceutical companies like us to purchase services or products from, or otherwise collaborate with, certain Chinese biotechnology companies “of concern” without losing the ability to contract with, or otherwise receive funding from, the U.S. government. We do some business with companies in China and it is possible some of our contractual counterparties could impacted by the legislation described above.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pStyle w:val="TextBody"/>
        <w:bidi w:val="0"/>
        <w:spacing w:before="108" w:after="283"/>
        <w:jc w:val="left"/>
        <w:rPr>
          <w:rFonts w:ascii="Times New Roman" w:hAnsi="Times New Roman"/>
          <w:sz w:val="20"/>
        </w:rPr>
      </w:pPr>
      <w:r>
        <w:rPr>
          <w:rFonts w:ascii="Times New Roman" w:hAnsi="Times New Roman"/>
          <w:color w:val="000000"/>
          <w:sz w:val="18"/>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alternative may not exist. These factors would increase our reliance on such manufacturer or require us to obtain a license from such manufacturer in order to have another third-party manufacture our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reduction or termination of production or deliveries by suppliers, or the raising of prices or renegotiation of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termination or nonrenewal of arrangements or agreements by our third-party contractors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breach by the third-party contractors of our agreements with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failure of third-party contractors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failure of the third party to manufacture our product candidates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mislabeling of clinical supplies, potentially resulting in the wrong dose amounts being supplied or active drug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misappropriation of our proprietary information, including our trade secrets and know-how.</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pStyle w:val="TextBody"/>
        <w:bidi w:val="0"/>
        <w:spacing w:before="216" w:after="283"/>
        <w:jc w:val="left"/>
        <w:rPr>
          <w:rFonts w:ascii="Times New Roman" w:hAnsi="Times New Roman"/>
          <w:sz w:val="20"/>
        </w:rPr>
      </w:pPr>
      <w:r>
        <w:rPr>
          <w:rFonts w:ascii="Times New Roman" w:hAnsi="Times New Roman"/>
          <w:color w:val="000000"/>
          <w:sz w:val="18"/>
        </w:rPr>
        <w:t>All of our therapeutic antibodies are manufactured by starting with cells from a cell bank. In accordance with cGMPs, we produce one master cell bank for each antibody manufactured, which is then stored in multiple locations to reduce the risk of loss. We have also created a working cell bank for certain manufactured antibodies. While we believe we will have adequate backup should any cell bank be lost in a</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catastrophic event, and we take precautions when transporting our cell banks, it is possible that we could lose multiple cell banks and have our manufacturing severely impacted by the need to replace the cell banks.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ability to procure sufficient supplies for the development of our product candidates will depend on future developments, including the severity and duration of any resurgence of COVID-19 and its variants.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Risks related to intellectual property</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pStyle w:val="TextBody"/>
        <w:bidi w:val="0"/>
        <w:spacing w:before="216" w:after="283"/>
        <w:jc w:val="left"/>
        <w:rPr>
          <w:rFonts w:ascii="Times New Roman" w:hAnsi="Times New Roman"/>
          <w:sz w:val="20"/>
        </w:rPr>
      </w:pPr>
      <w:r>
        <w:rPr>
          <w:rFonts w:ascii="Times New Roman" w:hAnsi="Times New Roman"/>
          <w:color w:val="000000"/>
          <w:sz w:val="18"/>
        </w:rPr>
        <w:t>Once granted, patents may remain open to opposition, interference, re-examination, post-grant review,</w:t>
      </w:r>
      <w:r>
        <w:rPr>
          <w:rFonts w:ascii="Times New Roman" w:hAnsi="Times New Roman"/>
          <w:color w:val="000000"/>
          <w:sz w:val="20"/>
        </w:rPr>
        <w:t xml:space="preserve"> </w:t>
      </w:r>
      <w:r>
        <w:rPr>
          <w:rFonts w:ascii="Times New Roman" w:hAnsi="Times New Roman"/>
          <w:i/>
          <w:color w:val="000000"/>
          <w:sz w:val="18"/>
        </w:rPr>
        <w:t>inter partes</w:t>
      </w:r>
      <w:r>
        <w:rPr>
          <w:rFonts w:ascii="Times New Roman" w:hAnsi="Times New Roman"/>
          <w:color w:val="000000"/>
          <w:sz w:val="20"/>
        </w:rPr>
        <w:t xml:space="preserve"> </w:t>
      </w:r>
      <w:r>
        <w:rPr>
          <w:rFonts w:ascii="Times New Roman" w:hAnsi="Times New Roman"/>
          <w:color w:val="000000"/>
          <w:sz w:val="18"/>
        </w:rPr>
        <w:t>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obtain, maintain, protect and enforce intellectual property protection for our technologies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Others will not or may not be able to make, use or sell compounds that are the same as or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or our licensors, or our existing or future collaborators are the first to make the inventions covered by each of our issued patents and pending patent applications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or our licensors, or our existing or future collaborators are the first to file patent applications covering certain aspects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Others will not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third party may not challenge our patents and, if challenged, that a court would hold that our patents are valid, enforceable and infringed.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issued patents that we own or have licensed will provide us with any competitive advantage or will not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develop or in-license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Pending patent applications that we own or may license will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patents of others will not have a material or adverse effect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competitors do not conduct research and development activities in countries where we do not have enforceable patent rights and then use the information learned from such activities to develop competitive products for sale in our commercial markets.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are unable to protect the confidentiality of our trade secrets, our business and competitive position would be harmed.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terms of our patents may not protect our competitive position on our product candidates for an adequate amount of time.</w:t>
      </w:r>
    </w:p>
    <w:p>
      <w:pPr>
        <w:pStyle w:val="TextBody"/>
        <w:bidi w:val="0"/>
        <w:spacing w:before="108" w:after="283"/>
        <w:jc w:val="left"/>
        <w:rPr>
          <w:rFonts w:ascii="Times New Roman" w:hAnsi="Times New Roman"/>
          <w:sz w:val="20"/>
        </w:rPr>
      </w:pPr>
      <w:r>
        <w:rPr>
          <w:rFonts w:ascii="Times New Roman" w:hAnsi="Times New Roman"/>
          <w:color w:val="000000"/>
          <w:sz w:val="18"/>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may be open to competition. Our issued patents will expire on dates ranging from 2030 to 2040, subject to any additional patent extensions that may be available for such patents. If patents are issued on our pending patent applications, the resulting patents are projected to expire on dates ranging from 2030 to 2043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do not obtain patent term extension for our product candidates, our business may be materially harmed.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Recent patent reform legislation could increase the uncertainties and costs surrounding the prosecution of our patent applications and the enforcement or defense of our issued patents.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filed or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Changes in U.S. patent law or laws in other countries could diminish the value of patents in general, thereby impairing our ability to protect our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For example, the U.S. Supreme Court has ruled on several patent cases in recent years, sometimes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Other companies or organizations may challenge our or our licensors’ patent rights or may assert patent rights that prevent us from developing and commercializing our products.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pStyle w:val="TextBody"/>
        <w:bidi w:val="0"/>
        <w:spacing w:before="108" w:after="283"/>
        <w:jc w:val="left"/>
        <w:rPr>
          <w:rFonts w:ascii="Times New Roman" w:hAnsi="Times New Roman"/>
          <w:sz w:val="20"/>
        </w:rPr>
      </w:pPr>
      <w:r>
        <w:rPr>
          <w:rFonts w:ascii="Times New Roman" w:hAnsi="Times New Roman"/>
          <w:color w:val="000000"/>
          <w:sz w:val="18"/>
        </w:rPr>
        <w:t>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w:t>
      </w:r>
      <w:r>
        <w:rPr>
          <w:rFonts w:ascii="Times New Roman" w:hAnsi="Times New Roman"/>
          <w:color w:val="000000"/>
          <w:sz w:val="20"/>
        </w:rPr>
        <w:t xml:space="preserve"> </w:t>
      </w:r>
      <w:r>
        <w:rPr>
          <w:rFonts w:ascii="Times New Roman" w:hAnsi="Times New Roman"/>
          <w:i/>
          <w:color w:val="000000"/>
          <w:sz w:val="18"/>
        </w:rPr>
        <w:t>inter partes</w:t>
      </w:r>
      <w:r>
        <w:rPr>
          <w:rFonts w:ascii="Times New Roman" w:hAnsi="Times New Roman"/>
          <w:color w:val="000000"/>
          <w:sz w:val="20"/>
        </w:rPr>
        <w:t xml:space="preserve"> </w:t>
      </w:r>
      <w:r>
        <w:rPr>
          <w:rFonts w:ascii="Times New Roman" w:hAnsi="Times New Roman"/>
          <w:color w:val="000000"/>
          <w:sz w:val="18"/>
        </w:rPr>
        <w:t>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rely. As the biotechnology and pharmaceutical industries expand and more patents are issued, the risk increases that our product candidates or technologies may give rise to claims of infringement of the patent rights of others.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be subject to claims challenging the inventorship or ownership of our patents and other intellectual property.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pStyle w:val="TextBody"/>
        <w:bidi w:val="0"/>
        <w:spacing w:before="108" w:after="283"/>
        <w:jc w:val="left"/>
        <w:rPr>
          <w:rFonts w:ascii="Times New Roman" w:hAnsi="Times New Roman"/>
          <w:sz w:val="20"/>
        </w:rPr>
      </w:pPr>
      <w:r>
        <w:rPr>
          <w:rFonts w:ascii="Times New Roman" w:hAnsi="Times New Roman"/>
          <w:color w:val="000000"/>
          <w:sz w:val="18"/>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be able to protect our intellectual property rights throughout the world.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pStyle w:val="TextBody"/>
        <w:bidi w:val="0"/>
        <w:spacing w:before="216" w:after="283"/>
        <w:jc w:val="left"/>
        <w:rPr>
          <w:rFonts w:ascii="Times New Roman" w:hAnsi="Times New Roman"/>
          <w:sz w:val="20"/>
        </w:rPr>
      </w:pPr>
      <w:r>
        <w:rPr>
          <w:rFonts w:ascii="Times New Roman" w:hAnsi="Times New Roman"/>
          <w:color w:val="000000"/>
          <w:sz w:val="18"/>
        </w:rPr>
        <w:t>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w:t>
      </w:r>
      <w:r>
        <w:rPr>
          <w:rFonts w:ascii="Times New Roman" w:hAnsi="Times New Roman"/>
          <w:color w:val="000000"/>
          <w:sz w:val="20"/>
        </w:rPr>
        <w:t xml:space="preserve"> </w:t>
      </w:r>
      <w:r>
        <w:rPr>
          <w:rFonts w:ascii="Times New Roman" w:hAnsi="Times New Roman"/>
          <w:i/>
          <w:color w:val="000000"/>
          <w:sz w:val="18"/>
        </w:rPr>
        <w:t>inter alia</w:t>
      </w:r>
      <w:r>
        <w:rPr>
          <w:rFonts w:ascii="Times New Roman" w:hAnsi="Times New Roman"/>
          <w:color w:val="000000"/>
          <w:sz w:val="18"/>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Intellectual property litigation could cause us to spend substantial resources and distract our personnel from their normal responsibilities.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be successful in obtaining or maintaining necessary rights to our product candidates through acquisitions and in-licenses.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our trademarks and trade names are not adequately protected, then we may not be able to build name recognition in our markets of interest and our business may be adversely affected.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pStyle w:val="TextBody"/>
        <w:bidi w:val="0"/>
        <w:spacing w:before="210" w:after="283"/>
        <w:jc w:val="left"/>
        <w:rPr>
          <w:rFonts w:ascii="Times New Roman" w:hAnsi="Times New Roman"/>
          <w:b/>
          <w:color w:val="000000"/>
          <w:sz w:val="18"/>
        </w:rPr>
      </w:pPr>
      <w:r>
        <w:rPr>
          <w:rFonts w:ascii="Times New Roman" w:hAnsi="Times New Roman"/>
          <w:b/>
          <w:color w:val="000000"/>
          <w:sz w:val="18"/>
        </w:rPr>
        <w:t>Risks related to our common stock</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Our operating results may fluctuate significantly or may fall below the expectations of investors or securities analysts, each of which may cause our stock price to fluctuate or decline.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expect our operating results to be subject to annual and quarterly fluctuations. Our net loss and other operating results will be affected by numerous factors, including,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variations in the level of expense related to the ongoing development of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results of preclinical studies and clinical trials, or the addition or 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success of our existing collaborations and any potential additional collaborations, licensing or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intellectual property infringement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any of our product candidates receives regulatory approval, the terms of such approval and market acceptance and demand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developments affecting our product candidates or those of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changes in general market and economic conditions.</w:t>
      </w:r>
    </w:p>
    <w:p>
      <w:pPr>
        <w:pStyle w:val="TextBody"/>
        <w:bidi w:val="0"/>
        <w:spacing w:before="204" w:after="283"/>
        <w:jc w:val="left"/>
        <w:rPr>
          <w:rFonts w:ascii="Times New Roman" w:hAnsi="Times New Roman"/>
          <w:color w:val="000000"/>
          <w:sz w:val="18"/>
        </w:rPr>
      </w:pPr>
      <w:r>
        <w:rPr>
          <w:rFonts w:ascii="Times New Roman" w:hAnsi="Times New Roman"/>
          <w:color w:val="000000"/>
          <w:sz w:val="18"/>
        </w:rPr>
        <w:t>If our operating results fall below the expectations of investors or securities analysts, the price of our common stock could decline substantially. Furthermore, any fluctuations in our operating results may, in turn, cause the price of our stock to fluctuate substantially.</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stock price may be volatile, and you could lose all or part of your investment.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trading price of our common stock has been and is likely to continue to be highly volatile. The market price for our common stock may be influenced by many factors, including the other risks described in this section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and results of our clinical trials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or legal developments in the United States and other countries, especially changes in laws or regulations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introductions and announcements of new products by us, our current or future collaborators or our competitors, and the timing of these introductions or announcements;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announcements of new collaboration agreements, or the restructuring or termination of current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actions taken by regulatory agencies with respect to our products, preclinical studies, clinical trials,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actual or anticipated 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success of our efforts to acquire or in-license additional technologies,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developments concerning any future collaborations, including those regarding manufacturing, supply and commercialization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announcements by us or our competitors of significant acquisitions, strategic collaborations,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actual or anticipated changes in earnings estimates or changes in stock market analysts'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failure or the failure of our competitors to meet analysts’ projections or guidance that we or our competitors may give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announcement and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sales of our common stock by us, our insiders or our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concentrated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changes in accounting principles;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terrorist acts, acts of war or periods of widespread civil unrest;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the impact of any natural disasters or public health emergencies, such as the COVID-19 pandemic;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general economic, industry and market conditions.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future issuance of equity or of debt securities that are convertible into equity will dilute our share capital.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securities or industry analysts do not publish research or reports about our business, or if they issue adverse or misleading research or reports regarding us, our business or our market, our stock price and trading volume could decline.</w:t>
      </w:r>
    </w:p>
    <w:p>
      <w:pPr>
        <w:pStyle w:val="TextBody"/>
        <w:bidi w:val="0"/>
        <w:spacing w:before="108" w:after="283"/>
        <w:jc w:val="left"/>
        <w:rPr>
          <w:rFonts w:ascii="Times New Roman" w:hAnsi="Times New Roman"/>
          <w:sz w:val="20"/>
        </w:rPr>
      </w:pPr>
      <w:r>
        <w:rPr>
          <w:rFonts w:ascii="Times New Roman" w:hAnsi="Times New Roman"/>
          <w:color w:val="000000"/>
          <w:sz w:val="18"/>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spacing w:before="108" w:after="283"/>
        <w:jc w:val="left"/>
        <w:rPr>
          <w:rFonts w:ascii="Times New Roman" w:hAnsi="Times New Roman"/>
          <w:sz w:val="20"/>
        </w:rPr>
      </w:pPr>
      <w:r>
        <w:rPr>
          <w:rFonts w:ascii="Times New Roman" w:hAnsi="Times New Roman"/>
          <w:color w:val="000000"/>
          <w:sz w:val="18"/>
        </w:rPr>
        <w:t>As of December 31, 2023, executive officers and directors, together with holders of 5% or more of our outstanding common stock and their respective affiliates, beneficially own approximately 36.5% of our outstanding common stock. More specifically, Jay M. Short, Ph.D, our Chairman and Chief Executive Officer, together with his spouse, beneficially own approximately 6.4%, of our outstanding common stock, as of December 31, 2023.</w:t>
      </w:r>
      <w:r>
        <w:rPr>
          <w:rFonts w:ascii="Times New Roman" w:hAnsi="Times New Roman"/>
          <w:color w:val="000000"/>
          <w:sz w:val="20"/>
        </w:rPr>
        <w:t xml:space="preserve">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b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Sales of a substantial number of shares of our common stock in the public market could cause our stock price to fall.</w:t>
      </w:r>
    </w:p>
    <w:p>
      <w:pPr>
        <w:pStyle w:val="TextBody"/>
        <w:bidi w:val="0"/>
        <w:spacing w:before="108" w:after="283"/>
        <w:jc w:val="left"/>
        <w:rPr>
          <w:rFonts w:ascii="Times New Roman" w:hAnsi="Times New Roman"/>
          <w:sz w:val="20"/>
        </w:rPr>
      </w:pPr>
      <w:r>
        <w:rPr>
          <w:rFonts w:ascii="Times New Roman" w:hAnsi="Times New Roman"/>
          <w:color w:val="000000"/>
          <w:sz w:val="18"/>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br/>
      </w:r>
      <w:r>
        <w:rPr>
          <w:rFonts w:ascii="Times New Roman" w:hAnsi="Times New Roman"/>
          <w:color w:val="000000"/>
          <w:sz w:val="20"/>
        </w:rPr>
        <w:t>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br/>
        <w:t>We registered the offer and sale of all shares of common stock that we may issue under our equity compensation plans, which shares will be able to be sold in the public market upon issuance, subject to applicable securities laws.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prohibition on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requirement that special meetings of stockholders be called only by the chairman of our board of directors, our chief executive officer, or our board of directors pursuant to a resolution adopted by a majority of the total number of authorized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advance notice requirements for election to our board of directors and for proposing matters that can be acted upon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requirement that directors may only be removed “for cause” and only with 66 2/3% voting stock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requirement that only the board of directors may change the number of directors and fill vacancies on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division of our board of directors into three classes, serving staggered terms of three years each;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authority of the board of directors to issue preferred stock with such terms as the board of directors may determine.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Company’s ability to attract and retain qualified members of our board of directors may be impacted due to new state laws, including recently enacted gender quotas.</w:t>
      </w:r>
    </w:p>
    <w:p>
      <w:pPr>
        <w:pStyle w:val="TextBody"/>
        <w:bidi w:val="0"/>
        <w:spacing w:before="108" w:after="283"/>
        <w:jc w:val="left"/>
        <w:rPr>
          <w:rFonts w:ascii="Times New Roman" w:hAnsi="Times New Roman"/>
          <w:sz w:val="20"/>
        </w:rPr>
      </w:pPr>
      <w:r>
        <w:rPr>
          <w:rFonts w:ascii="Times New Roman" w:hAnsi="Times New Roman"/>
          <w:color w:val="000000"/>
          <w:sz w:val="18"/>
        </w:rPr>
        <w:t>In September 2018, California enacted SB 826 requiring public companies headquartered in California to maintain minimum female representation on their boards of directors as follows: by the end of 2019, at least one woman on its board, by the end of 2020, public company boards with five members will be required to have at least two female directors, and public company boards with six or more members will be required to have at least three female directors.</w:t>
        <w:br/>
      </w:r>
      <w:r>
        <w:rPr>
          <w:rFonts w:ascii="Times New Roman" w:hAnsi="Times New Roman"/>
          <w:color w:val="000000"/>
          <w:sz w:val="20"/>
        </w:rPr>
        <w:t> </w:t>
      </w:r>
    </w:p>
    <w:p>
      <w:pPr>
        <w:pStyle w:val="TextBody"/>
        <w:bidi w:val="0"/>
        <w:spacing w:before="216" w:after="283"/>
        <w:jc w:val="left"/>
        <w:rPr>
          <w:rFonts w:ascii="Times New Roman" w:hAnsi="Times New Roman"/>
          <w:sz w:val="20"/>
        </w:rPr>
      </w:pPr>
      <w:r>
        <w:rPr>
          <w:rFonts w:ascii="Times New Roman" w:hAnsi="Times New Roman"/>
          <w:color w:val="000000"/>
          <w:sz w:val="18"/>
        </w:rPr>
        <w:t>In September 2020, California enacted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w:t>
        <w:br/>
      </w:r>
      <w:r>
        <w:rPr>
          <w:rFonts w:ascii="Times New Roman" w:hAnsi="Times New Roman"/>
          <w:color w:val="000000"/>
          <w:sz w:val="20"/>
        </w:rPr>
        <w:t>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to that initial 2021 requirement, the law mandated that the number of directors from underrepresented communities be increased by the end of calendar year 2022, depending on the size of the board.</w:t>
      </w:r>
    </w:p>
    <w:p>
      <w:pPr>
        <w:pStyle w:val="TextBody"/>
        <w:bidi w:val="0"/>
        <w:spacing w:before="216" w:after="283"/>
        <w:jc w:val="left"/>
        <w:rPr>
          <w:rFonts w:ascii="Times New Roman" w:hAnsi="Times New Roman"/>
          <w:sz w:val="20"/>
        </w:rPr>
      </w:pPr>
      <w:r>
        <w:rPr>
          <w:rFonts w:ascii="Times New Roman" w:hAnsi="Times New Roman"/>
          <w:color w:val="000000"/>
          <w:sz w:val="18"/>
        </w:rPr>
        <w:t>In addition, the Company is subject to the listing rules from Nasdaq related to board diversity and disclosure, which require all companies listed on Nasdaq's U.S. exchanges to publicly disclose consistent, transparent diversity statistics regarding their board of directors. Additionally, the rules require most Nasdaq-listed companies to have, or explain why they do not have, at least two diverse directors, including one who self-identifies as female and one who self-identifies as either an underrepresented minority or LGBTQ+.</w:t>
        <w:br/>
      </w:r>
      <w:r>
        <w:rPr>
          <w:rFonts w:ascii="Times New Roman" w:hAnsi="Times New Roman"/>
          <w:color w:val="000000"/>
          <w:sz w:val="20"/>
        </w:rPr>
        <w:t> </w:t>
      </w:r>
    </w:p>
    <w:p>
      <w:pPr>
        <w:pStyle w:val="TextBody"/>
        <w:bidi w:val="0"/>
        <w:spacing w:before="216" w:after="283"/>
        <w:jc w:val="left"/>
        <w:rPr>
          <w:rFonts w:ascii="Times New Roman" w:hAnsi="Times New Roman"/>
          <w:sz w:val="20"/>
        </w:rPr>
      </w:pPr>
      <w:r>
        <w:rPr>
          <w:rFonts w:ascii="Times New Roman" w:hAnsi="Times New Roman"/>
          <w:color w:val="000000"/>
          <w:sz w:val="18"/>
        </w:rPr>
        <w:t xml:space="preserve">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the California laws or Nasdaq rules, which may expose us to penalties and/or reputational harm. </w:t>
        <w:br/>
      </w:r>
      <w:r>
        <w:rPr>
          <w:rFonts w:ascii="Times New Roman" w:hAnsi="Times New Roman"/>
          <w:color w:val="000000"/>
          <w:sz w:val="20"/>
        </w:rPr>
        <w:t>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including obtaining director and officer liability insurance, and maintaining such coverage, more time-consuming and costly.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as a public company, we are required to incur costs and obligations in order to comply with SEC rules that implement Section 404 of the Sarbanes-Oxley Act. Under these rules, we are required to make a formal assessment of the effectiveness of our internal control over 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dedicated, and will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disclosure controls and procedures may not prevent or detect all errors or acts of fraud.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Because we do not anticipate paying any cash dividends on our capital stock in the foreseeable future, your ability to achieve a return on your investment will depend on appreciation of the value of our common stock.</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be subject to securities litigation, which is expensive and could divert our management’s attention.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08" w:after="283"/>
        <w:jc w:val="left"/>
        <w:rPr>
          <w:rFonts w:ascii="Times New Roman" w:hAnsi="Times New Roman"/>
          <w:sz w:val="20"/>
        </w:rPr>
      </w:pPr>
      <w:r>
        <w:rPr>
          <w:rFonts w:ascii="Times New Roman" w:hAnsi="Times New Roman"/>
          <w:color w:val="000000"/>
          <w:sz w:val="18"/>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pStyle w:val="TextBody"/>
        <w:bidi w:val="0"/>
        <w:jc w:val="left"/>
        <w:rPr/>
      </w:pPr>
      <w:r>
        <w:rPr/>
        <w:t> </w:t>
      </w:r>
    </w:p>
    <w:p>
      <w:pPr>
        <w:pStyle w:val="TextBody"/>
        <w:bidi w:val="0"/>
        <w:jc w:val="left"/>
        <w:rPr>
          <w:rFonts w:ascii="Times New Roman" w:hAnsi="Times New Roman"/>
          <w:b/>
          <w:color w:val="000000"/>
          <w:sz w:val="18"/>
        </w:rPr>
      </w:pPr>
      <w:bookmarkStart w:id="6" w:name="item_1b_unresolved_staff_comments"/>
      <w:bookmarkEnd w:id="6"/>
      <w:r>
        <w:rPr>
          <w:rFonts w:ascii="Times New Roman" w:hAnsi="Times New Roman"/>
          <w:b/>
          <w:color w:val="000000"/>
          <w:sz w:val="18"/>
        </w:rPr>
        <w:t>ITEM 1B. Unresolved Staff Comments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Not applicable.</w:t>
      </w:r>
    </w:p>
    <w:p>
      <w:pPr>
        <w:pStyle w:val="TextBody"/>
        <w:bidi w:val="0"/>
        <w:spacing w:before="108" w:after="283"/>
        <w:jc w:val="left"/>
        <w:rPr/>
      </w:pPr>
      <w:r>
        <w:rPr/>
        <w:t> </w:t>
      </w:r>
    </w:p>
    <w:p>
      <w:pPr>
        <w:pStyle w:val="TextBody"/>
        <w:bidi w:val="0"/>
        <w:jc w:val="left"/>
        <w:rPr>
          <w:rFonts w:ascii="Times New Roman" w:hAnsi="Times New Roman"/>
          <w:b/>
          <w:color w:val="000000"/>
          <w:sz w:val="18"/>
        </w:rPr>
      </w:pPr>
      <w:bookmarkStart w:id="7" w:name="item_1c_cybersecurity"/>
      <w:bookmarkEnd w:id="7"/>
      <w:r>
        <w:rPr>
          <w:rFonts w:ascii="Times New Roman" w:hAnsi="Times New Roman"/>
          <w:b/>
          <w:color w:val="000000"/>
          <w:sz w:val="18"/>
        </w:rPr>
        <w:t>ITEM 1C. Cybersecurity</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Cybersecurity Risk Management and Strategy:</w:t>
      </w:r>
    </w:p>
    <w:p>
      <w:pPr>
        <w:pStyle w:val="TextBody"/>
        <w:bidi w:val="0"/>
        <w:spacing w:before="120" w:after="283"/>
        <w:jc w:val="left"/>
        <w:rPr>
          <w:rFonts w:ascii="Times New Roman" w:hAnsi="Times New Roman"/>
          <w:sz w:val="20"/>
        </w:rPr>
      </w:pPr>
      <w:r>
        <w:rPr>
          <w:rFonts w:ascii="Times New Roman" w:hAnsi="Times New Roman"/>
          <w:color w:val="000000"/>
          <w:sz w:val="18"/>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violation of privacy or security laws and other litigation and legal risk; and reputational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also maintain an incident response plan to coordinate the activities we take to protect against, detect, respond to and remediate cybersecurity incidents, as such term is defined in Item 106(a) of Regulation S-K, as well as to comply with potentially applicable legal obligations and mitigate brand and reputational damage.</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We have implemented several cybersecurity processes, technologies, and controls to aid in our efforts to identify, assess, and manage material risks, as well as to test and improve our incident response plan. Our approach includes,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conducting regular network and endpoint monitoring, vulnerability assessments, and penetration testing to improve our information systems, as such term is defined in Item 106(a) of Regulation S-K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regular cybersecurity training programs for employees and management; and annual cybersecurity management training for employees involved in our systems and processes that handle sensitive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leveraging the NIST incident handling framework to help us identify, protect, detect, respond, and recover when there is an actual or potential cybersecurity incident;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operating threat intelligence processes designed to research our adversaries;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closely monitoring emerging data protection laws and implementing changes to our processes designed to comply;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conducting regular phishing email simulations for all employees and all contractors with access to corporate email systems to enhance awareness and responsiveness to such possible threats;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through policy, practice, and contract (as applicable) requiring employees, as well as third-parties who provide services on our behalf, to treat sensitive information with care;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carrying information security risk insurance that provides protection against the potential losses arising from a cybersecurity incident;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maintaining a risk management program for suppliers, vendors, and other third parties, which includes conducting pre-engagement risk-based diligence, implementing contractual security and notification provisions, and ongoing monitoring as needed.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These approaches vary in maturity across the business, and we work to continually improve them.</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process for identifying and assessing material risks from cybersecurity threats operates alongside our broader overall risk assessment process, covering all company risks. As part of this process appropriate disclosure personnel will collaborate with subject matter specialists, as necessary, to gather insights for identifying and assessing material cybersecurity threat risks, their severity, and potential mitigation.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part of the above approach and processes, we have engaged an assessors to review our cybersecurity program to help identify areas for continued focus, improvement and/or compliance.</w:t>
      </w:r>
    </w:p>
    <w:p>
      <w:pPr>
        <w:pStyle w:val="TextBody"/>
        <w:bidi w:val="0"/>
        <w:spacing w:before="120" w:after="283"/>
        <w:jc w:val="left"/>
        <w:rPr>
          <w:rFonts w:ascii="Times New Roman" w:hAnsi="Times New Roman"/>
          <w:sz w:val="20"/>
        </w:rPr>
      </w:pPr>
      <w:r>
        <w:rPr>
          <w:rFonts w:ascii="Times New Roman" w:hAnsi="Times New Roman"/>
          <w:color w:val="000000"/>
          <w:sz w:val="18"/>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“We depend on our information technology systems and those of our CROs, manufacturers, contractors and consultants. Our internal computer systems,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 included as part of our risk factor disclosures at Item 1A of this Annual Report on Form 10-K, and under the heading “Risks related to employee matters, managing our growth and other risks related to our business.”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In the last three fiscal years, we have not experienced any material cybersecurity incidents and the expenses we have incurred from cybersecurity incidents were immaterial. This includes penalties and settlements, of which there were none.</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Cybersecurity Governance: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Cybersecurity is an important part of our risk management processes and an area of increasing focus for our Board and management. Our Audit Committee is responsible for the oversight of risks from cybersecurity threats. The Audit Committee semi-annually receives an overview from management of our cybersecurity threat risk management and strategy processes covering topics such as data security posture, progress towards pre-determined risk-mitigation-related goals, our incident response plan, and cybersecurity threat risks or incidents and developments, as well as the steps management has taken to respond to such risks. In such sessions, the Audit Committee generally receives materials indicating current and emerging cybersecurity threat risks, and describing the company’s ability to mitigate those risks. Members of the Board and the Audit Committee are also encouraged to regularly engage in ad hoc conversations with management on cybersecurity-related news events and discuss any updates to our cybersecurity risk management and strategy programs. Material cybersecurity threat risks may also be considered during separate Board meeting discussions.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cybersecurity risk management and strategy processes, which are discussed in greater detail above, are led by our Senior Vice President of IP and Contracts and other members of the management team. Our team has over ten years in information technology, cybersecurity, risk management, and compliance and includes individuals with BS degrees in Information Technology and several information technology and security certifications.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These members of management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If a cybersecurity incident is determined to be a material cybersecurity incident, our incident response plan and cybersecurity disclosure controls and procedures define the process to disclose such a material cybersecurity incident.</w:t>
      </w:r>
    </w:p>
    <w:p>
      <w:pPr>
        <w:pStyle w:val="TextBody"/>
        <w:bidi w:val="0"/>
        <w:spacing w:before="120" w:after="283"/>
        <w:jc w:val="left"/>
        <w:rPr/>
      </w:pPr>
      <w:r>
        <w:rPr/>
        <w:t> </w:t>
      </w:r>
    </w:p>
    <w:p>
      <w:pPr>
        <w:pStyle w:val="TextBody"/>
        <w:bidi w:val="0"/>
        <w:jc w:val="left"/>
        <w:rPr>
          <w:rFonts w:ascii="Times New Roman" w:hAnsi="Times New Roman"/>
          <w:b/>
          <w:color w:val="000000"/>
          <w:sz w:val="18"/>
        </w:rPr>
      </w:pPr>
      <w:bookmarkStart w:id="8" w:name="item_2_properties"/>
      <w:bookmarkEnd w:id="8"/>
      <w:r>
        <w:rPr>
          <w:rFonts w:ascii="Times New Roman" w:hAnsi="Times New Roman"/>
          <w:b/>
          <w:color w:val="000000"/>
          <w:sz w:val="18"/>
        </w:rPr>
        <w:t>ITEM 2. Properties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headquarters are located at 11085 Torreyana Road, San Diego, California 92121, where we lease approximately 43,377 square feet of office and laboratory space under a lease that terminates on February 28, 2025. We believe that our existing facilities are adequate to meet our current needs, and that suitable additional alternative spaces will be available in the future on commercially reasonable terms.</w:t>
      </w:r>
    </w:p>
    <w:p>
      <w:pPr>
        <w:pStyle w:val="TextBody"/>
        <w:bidi w:val="0"/>
        <w:jc w:val="left"/>
        <w:rPr>
          <w:rFonts w:ascii="Times New Roman" w:hAnsi="Times New Roman"/>
          <w:b/>
          <w:color w:val="000000"/>
          <w:sz w:val="18"/>
        </w:rPr>
      </w:pPr>
      <w:bookmarkStart w:id="9" w:name="item_3_legal_proceedings"/>
      <w:bookmarkEnd w:id="9"/>
      <w:r>
        <w:rPr>
          <w:rFonts w:ascii="Times New Roman" w:hAnsi="Times New Roman"/>
          <w:b/>
          <w:color w:val="000000"/>
          <w:sz w:val="18"/>
        </w:rPr>
        <w:t>ITEM 3. Legal Proceedings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pStyle w:val="TextBody"/>
        <w:bidi w:val="0"/>
        <w:jc w:val="left"/>
        <w:rPr>
          <w:rFonts w:ascii="Times New Roman" w:hAnsi="Times New Roman"/>
          <w:b/>
          <w:color w:val="000000"/>
          <w:sz w:val="18"/>
        </w:rPr>
      </w:pPr>
      <w:bookmarkStart w:id="10" w:name="item_4_mine_safety_disclosures"/>
      <w:bookmarkEnd w:id="10"/>
      <w:r>
        <w:rPr>
          <w:rFonts w:ascii="Times New Roman" w:hAnsi="Times New Roman"/>
          <w:b/>
          <w:color w:val="000000"/>
          <w:sz w:val="18"/>
        </w:rPr>
        <w:t>ITEM 4. Mine Safety Disclosures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Not applicable.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0" w:after="283"/>
        <w:jc w:val="center"/>
        <w:rPr>
          <w:rFonts w:ascii="Times New Roman" w:hAnsi="Times New Roman"/>
          <w:b/>
          <w:color w:val="000000"/>
          <w:sz w:val="18"/>
        </w:rPr>
      </w:pPr>
      <w:bookmarkStart w:id="11" w:name="part_ii"/>
      <w:bookmarkEnd w:id="11"/>
      <w:r>
        <w:rPr>
          <w:rFonts w:ascii="Times New Roman" w:hAnsi="Times New Roman"/>
          <w:b/>
          <w:color w:val="000000"/>
          <w:sz w:val="18"/>
        </w:rPr>
        <w:t>PART II</w:t>
      </w:r>
    </w:p>
    <w:p>
      <w:pPr>
        <w:pStyle w:val="TextBody"/>
        <w:bidi w:val="0"/>
        <w:jc w:val="left"/>
        <w:rPr>
          <w:rFonts w:ascii="Times New Roman" w:hAnsi="Times New Roman"/>
          <w:b/>
          <w:color w:val="000000"/>
          <w:sz w:val="18"/>
        </w:rPr>
      </w:pPr>
      <w:bookmarkStart w:id="12" w:name="item_5_market_for_registrant"/>
      <w:bookmarkEnd w:id="12"/>
      <w:r>
        <w:rPr>
          <w:rFonts w:ascii="Times New Roman" w:hAnsi="Times New Roman"/>
          <w:b/>
          <w:color w:val="000000"/>
          <w:sz w:val="18"/>
        </w:rPr>
        <w:t>ITEM 5. Market for Registrant’s Common Equity, Related Stockholder Matters and Issuer Purchases of Equity Securities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Market Information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Shares of our common stock began trading on the Nasdaq Global Market on December 16, 2020 under the symbol “BCAB.” Prior to that time, there was no public market for shares of our common stock.</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Holders of Record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of March 26, 2024, there were 28 stockholders of record of our common stock and 0 stockholders of record of our Class B common stock. These numbers were derived from our stockholder records and do not include beneficial owners of our common stock whose shares are held in “street” name with various dealers, clearing agencies, banks, brokers and other fiduciaries.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Dividends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Securities Authorized for Issuance Under Equity Compensation Plans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Information about securities authorized for issuance under our equity compensation plans is incorporated herein by reference to Item 12 of Part III of this Annual Report on Form 10-K.</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Recent Sales of Unregistered Securities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Use of Proceeds from Registered Securities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On December 15, 2020, the SEC declared effective our registration statement on Form S-1 (File No. 333-250093), as amended, filed in connection with our Initial Public Offering (“IPO”). At the closing of the offering on December 18, 2020, we issued and sold 12,075,000 shares of our common stock at the initial public offering price to the public of $18.00 per share, which included the exercise in full of the underwriters’ option to purchase additional shares. We received gross proceeds from the IPO of $217.4 million, before deducting underwriting discounts and commissions of approximately $15.2 million and estimated offering costs of approximately $3.8 million. J.P. Morgan, Jefferies and Credit Suisse acted as joint book-running managers for the offering. BTIG acted as co-manager for the offering. No offering expenses were paid or are payable, directly or indirectly, to our directors or officers, to persons owning 10% or more of any class of our equity securities or to any of our affiliates.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 of December 31, 2023, we have used all $198.3 million of the proceeds from our IPO. There has been no material change in the planned use of such proceeds from that described in the final prospectus filed by us with the SEC on December 17, 2020.</w:t>
      </w:r>
    </w:p>
    <w:p>
      <w:pPr>
        <w:pStyle w:val="TextBody"/>
        <w:bidi w:val="0"/>
        <w:jc w:val="left"/>
        <w:rPr/>
      </w:pPr>
      <w:r>
        <w:rPr/>
        <w:t> </w:t>
      </w:r>
    </w:p>
    <w:p>
      <w:pPr>
        <w:pStyle w:val="TextBody"/>
        <w:bidi w:val="0"/>
        <w:jc w:val="left"/>
        <w:rPr>
          <w:rFonts w:ascii="Times New Roman" w:hAnsi="Times New Roman"/>
          <w:b/>
          <w:color w:val="000000"/>
          <w:sz w:val="18"/>
        </w:rPr>
      </w:pPr>
      <w:bookmarkStart w:id="13" w:name="item_6_selected_financial_data"/>
      <w:bookmarkEnd w:id="13"/>
      <w:r>
        <w:rPr>
          <w:rFonts w:ascii="Times New Roman" w:hAnsi="Times New Roman"/>
          <w:b/>
          <w:color w:val="000000"/>
          <w:sz w:val="18"/>
        </w:rPr>
        <w:t>ITEM 6. [Reserved]</w:t>
      </w:r>
    </w:p>
    <w:p>
      <w:pPr>
        <w:pStyle w:val="TextBody"/>
        <w:bidi w:val="0"/>
        <w:spacing w:before="108" w:after="283"/>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left"/>
        <w:rPr>
          <w:rFonts w:ascii="Times New Roman" w:hAnsi="Times New Roman"/>
          <w:b/>
          <w:color w:val="000000"/>
          <w:sz w:val="18"/>
        </w:rPr>
      </w:pPr>
      <w:bookmarkStart w:id="14" w:name="item_7_management_discussion"/>
      <w:bookmarkEnd w:id="14"/>
      <w:r>
        <w:rPr>
          <w:rFonts w:ascii="Times New Roman" w:hAnsi="Times New Roman"/>
          <w:b/>
          <w:color w:val="000000"/>
          <w:sz w:val="18"/>
        </w:rPr>
        <w:t>ITEM 7. Management’s Discussion and Analysis of Financial Condition and Results of Operations</w:t>
      </w:r>
    </w:p>
    <w:p>
      <w:pPr>
        <w:pStyle w:val="TextBody"/>
        <w:bidi w:val="0"/>
        <w:spacing w:before="108" w:after="283"/>
        <w:jc w:val="left"/>
        <w:rPr>
          <w:rFonts w:ascii="Times New Roman" w:hAnsi="Times New Roman"/>
          <w:sz w:val="20"/>
        </w:rPr>
      </w:pPr>
      <w:r>
        <w:rPr>
          <w:rFonts w:ascii="Times New Roman" w:hAnsi="Times New Roman"/>
          <w:i/>
          <w:color w:val="000000"/>
          <w:sz w:val="18"/>
        </w:rPr>
        <w:t>You should read the following discussion and analysis together with our financial statements and related notes included in “Item 8. Financial Statements and Supplementary Data” in this Annual Report on Form 10-K. The following discussion contains forward-looking statements that involve risks and uncertainties. For a complete discussion of forward-looking statements, see the section above entitled “Forward-Looking Statements.” Our actual results could differ materially from those expressed or implied in any forward-looking statements as a result of various factors, including those set forth under the caption “Item 1A. Risk Factors.”</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Overview</w:t>
      </w:r>
    </w:p>
    <w:p>
      <w:pPr>
        <w:pStyle w:val="TextBody"/>
        <w:bidi w:val="0"/>
        <w:spacing w:before="108" w:after="283"/>
        <w:jc w:val="left"/>
        <w:rPr>
          <w:rFonts w:ascii="Times New Roman" w:hAnsi="Times New Roman"/>
          <w:sz w:val="20"/>
        </w:rPr>
      </w:pPr>
      <w:r>
        <w:rPr>
          <w:rFonts w:ascii="Times New Roman" w:hAnsi="Times New Roman"/>
          <w:color w:val="000000"/>
          <w:sz w:val="18"/>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br/>
      </w:r>
      <w:r>
        <w:rPr>
          <w:rFonts w:ascii="Times New Roman" w:hAnsi="Times New Roman"/>
          <w:color w:val="000000"/>
          <w:sz w:val="20"/>
        </w:rPr>
        <w:t> </w:t>
      </w:r>
    </w:p>
    <w:p>
      <w:pPr>
        <w:pStyle w:val="TextBody"/>
        <w:bidi w:val="0"/>
        <w:spacing w:before="216" w:after="283"/>
        <w:jc w:val="left"/>
        <w:rPr>
          <w:rFonts w:ascii="Times New Roman" w:hAnsi="Times New Roman"/>
          <w:sz w:val="20"/>
        </w:rPr>
      </w:pPr>
      <w:r>
        <w:rPr>
          <w:rFonts w:ascii="Times New Roman" w:hAnsi="Times New Roman"/>
          <w:color w:val="000000"/>
          <w:sz w:val="18"/>
        </w:rPr>
        <w:t xml:space="preserve">We are a United States-based company with research facilities in San Diego, California and, through our contractual relationship with BioDuro-Sundia,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and evalstotug (BA3071), and our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 </w:t>
        <w:br/>
      </w:r>
      <w:r>
        <w:rPr>
          <w:rFonts w:ascii="Times New Roman" w:hAnsi="Times New Roman"/>
          <w:color w:val="000000"/>
          <w:sz w:val="20"/>
        </w:rPr>
        <w:t>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$123.5 million and $106.5 million for the years ended December 31, 2023 and 2022, respectively. As of December 31, 2023, we had an accumulated deficit of $416.3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be variable as we focus development efforts on our prioritized programs. Research and development expenses will vary as we continue to advance clinical trials of our lead product candidates, and will decrease once we complete enrollment and treatment of patients in those trials.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expect our expenses and capital requirements will increase substantially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advance the clinical development of mecbotamab vedotin;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advance the clinical development of ozuriftamab vedotin;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advance the clinical development of evalstotug;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advance the clinical development of BA3182;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expand our pipeline of bispecific and other CAB antibody-based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continue to invest in our CAB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maintain, protect and expand our intellectual property portfolio,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seek marketing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establish additional product collaborations and commercial manufacturing relationships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build sales, marketing and distribution infrastructure and relationships with third parties to commercialize product candidates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continue to expand our operational, financial and management information systems;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attract, hire and retain additional clinical, scientific, management, administrative and commercial personnel.</w:t>
      </w:r>
    </w:p>
    <w:p>
      <w:pPr>
        <w:pStyle w:val="TextBody"/>
        <w:bidi w:val="0"/>
        <w:spacing w:before="216" w:after="283"/>
        <w:jc w:val="left"/>
        <w:rPr>
          <w:rFonts w:ascii="Times New Roman" w:hAnsi="Times New Roman"/>
          <w:sz w:val="20"/>
        </w:rPr>
      </w:pPr>
      <w:r>
        <w:rPr>
          <w:rFonts w:ascii="Times New Roman" w:hAnsi="Times New Roman"/>
          <w:color w:val="000000"/>
          <w:sz w:val="18"/>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 of December 31, 2023, our cash and cash equivalents totaled approximately $111.5 million. Based on our current operating plan, our current cash and cash equivalents are expected to be sufficient to fund our ongoing operations for a period of at least twelve months from the date of issuance of the financial statements included in this report. Our current operating plan includes plans to complete enrollment in certain of our clinical trials, delaying development of certain pre-clinical programs, and prioritizing and focusing clinical development on selected assets and indications. In addition, we have based this estimate on assumptions that may prove to be wrong, and we could utilize our available capital resources sooner than we currently expect.</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Impact of COVID-19 on our business</w:t>
      </w:r>
    </w:p>
    <w:p>
      <w:pPr>
        <w:pStyle w:val="TextBody"/>
        <w:bidi w:val="0"/>
        <w:spacing w:before="108" w:after="283"/>
        <w:jc w:val="left"/>
        <w:rPr>
          <w:rFonts w:ascii="Times New Roman" w:hAnsi="Times New Roman"/>
          <w:sz w:val="20"/>
        </w:rPr>
      </w:pPr>
      <w:r>
        <w:rPr>
          <w:rFonts w:ascii="Times New Roman" w:hAnsi="Times New Roman"/>
          <w:color w:val="000000"/>
          <w:sz w:val="18"/>
        </w:rPr>
        <w:t>The COVID-19 pandemic previously impacted our ongoing operations, including clinical trials. The extent to which the COVID-19 pandemic may continue to impact our business, financial condition and results of operations cannot be reasonably estimated and will depend on future developments, which are highly uncertain and cannot be predicted, including the severity and duration of any resurgence of COVID-19 and its variants and the actions necessary to contain any resurgence or treat its impact, among others. We will continue to monitor the COVID-19 situation closely and operate in accordance with all relevant health and safety guidelines as they evolve in response to changing public health conditions.</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Financial operations overview</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Revenue</w:t>
      </w:r>
    </w:p>
    <w:p>
      <w:pPr>
        <w:pStyle w:val="TextBody"/>
        <w:bidi w:val="0"/>
        <w:spacing w:before="108" w:after="283"/>
        <w:jc w:val="left"/>
        <w:rPr>
          <w:rFonts w:ascii="Times New Roman" w:hAnsi="Times New Roman"/>
          <w:sz w:val="20"/>
        </w:rPr>
      </w:pPr>
      <w:r>
        <w:rPr>
          <w:rFonts w:ascii="Times New Roman" w:hAnsi="Times New Roman"/>
          <w:color w:val="000000"/>
          <w:sz w:val="18"/>
        </w:rPr>
        <w:t>To date, we have not generated any revenue from the sale of products and do not expect to generate meaningful revenue in the near future.</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The Company has entered into collaborations and licensing agreements with various third parties that, in some cases, may provide for potential future milestone and royalty payments to us (see Note 7 to our financial statements). Prior to developing our own programs, we received revenue from services performed under fixed price service contracts that, in some cases, provided for potential milestone and royalty payments to us. We did not recognize any revenues from collaborations, licenses, or our legacy service contracts during the years ended December 31, 2023 and 2022, respectively.</w:t>
        <w:br/>
        <w:br/>
        <w:br/>
      </w:r>
      <w:r>
        <w:rPr>
          <w:rFonts w:ascii="Times New Roman" w:hAnsi="Times New Roman"/>
          <w:b/>
          <w:i/>
          <w:color w:val="000000"/>
          <w:sz w:val="18"/>
        </w:rPr>
        <w:t>Operating expenses</w:t>
      </w:r>
    </w:p>
    <w:p>
      <w:pPr>
        <w:pStyle w:val="TextBody"/>
        <w:bidi w:val="0"/>
        <w:spacing w:before="108" w:after="283"/>
        <w:jc w:val="left"/>
        <w:rPr>
          <w:rFonts w:ascii="Times New Roman" w:hAnsi="Times New Roman"/>
          <w:i/>
          <w:color w:val="000000"/>
          <w:sz w:val="18"/>
        </w:rPr>
      </w:pPr>
      <w:r>
        <w:rPr>
          <w:rFonts w:ascii="Times New Roman" w:hAnsi="Times New Roman"/>
          <w:i/>
          <w:color w:val="000000"/>
          <w:sz w:val="18"/>
        </w:rPr>
        <w:t>Research and development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Research and development expenses consist primarily of costs incurred in the discovery and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External expenses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Fees paid to third parties such as contractors, clinical research organizations (CROs) and consultants, and other costs related to preclinical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Fees paid to third parties such as contract manufacturing organizations (CMOs) and other vendors for manufacturing research and clinical trial materials;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Expenses related to laboratory supplies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Unallocated expenses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Personnel-related expenses, including salaries, benefits and equity-based compensation expenses, for personnel in our research and development functions;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Related equipment and facilities depreciation expense.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pStyle w:val="TextBody"/>
        <w:bidi w:val="0"/>
        <w:spacing w:before="216" w:after="283"/>
        <w:jc w:val="left"/>
        <w:rPr>
          <w:rFonts w:ascii="Times New Roman" w:hAnsi="Times New Roman"/>
          <w:sz w:val="20"/>
        </w:rPr>
      </w:pPr>
      <w:r>
        <w:rPr>
          <w:rFonts w:ascii="Times New Roman" w:hAnsi="Times New Roman"/>
          <w:color w:val="000000"/>
          <w:sz w:val="18"/>
        </w:rPr>
        <w:t>We expect our research and development expenses to remain variable from quarter to quarter as we continue to advance our clinical programs, then decreasing after we complete enrollment and treatment in certain of our clinical trials, and focus development on selected high potential indications. The process of conducting the necessary preclinical and clinical research to obtain regulatory approval is costly and</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General and administrative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 We expect our general and administrative expenses to remain flat to moderately increasing in the future to support development of our prioritized CAB programs.</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Interest income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Interest income consists primarily of interest earned on our cash and cash equivalent balances.</w:t>
      </w:r>
    </w:p>
    <w:p>
      <w:pPr>
        <w:pStyle w:val="TextBody"/>
        <w:bidi w:val="0"/>
        <w:spacing w:before="210" w:after="283"/>
        <w:jc w:val="left"/>
        <w:rPr>
          <w:rFonts w:ascii="Times New Roman" w:hAnsi="Times New Roman"/>
          <w:b/>
          <w:color w:val="000000"/>
          <w:sz w:val="18"/>
        </w:rPr>
      </w:pPr>
      <w:r>
        <w:rPr>
          <w:rFonts w:ascii="Times New Roman" w:hAnsi="Times New Roman"/>
          <w:b/>
          <w:color w:val="000000"/>
          <w:sz w:val="18"/>
        </w:rPr>
        <w:t>Results of operations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Comparison of the years ended December 31, 2023 and 2022</w:t>
      </w:r>
    </w:p>
    <w:tbl>
      <w:tblPr>
        <w:tblW w:w="6358" w:type="dxa"/>
        <w:jc w:val="left"/>
        <w:tblInd w:w="0" w:type="dxa"/>
        <w:tblLayout w:type="fixed"/>
        <w:tblCellMar>
          <w:top w:w="28" w:type="dxa"/>
          <w:left w:w="28" w:type="dxa"/>
          <w:bottom w:w="28" w:type="dxa"/>
          <w:right w:w="28" w:type="dxa"/>
        </w:tblCellMar>
      </w:tblPr>
      <w:tblGrid>
        <w:gridCol w:w="2446"/>
        <w:gridCol w:w="146"/>
        <w:gridCol w:w="196"/>
        <w:gridCol w:w="751"/>
        <w:gridCol w:w="166"/>
        <w:gridCol w:w="146"/>
        <w:gridCol w:w="196"/>
        <w:gridCol w:w="751"/>
        <w:gridCol w:w="166"/>
        <w:gridCol w:w="146"/>
        <w:gridCol w:w="196"/>
        <w:gridCol w:w="661"/>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(129,687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(108,140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(21,547</w:t>
            </w:r>
          </w:p>
        </w:tc>
        <w:tc>
          <w:tcPr>
            <w:tcW w:w="3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4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4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and comprehensive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Research and development expense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table summarizes our research and development expenses allocated by CAB program for the periods indicated:</w:t>
      </w:r>
    </w:p>
    <w:tbl>
      <w:tblPr>
        <w:tblW w:w="7815" w:type="dxa"/>
        <w:jc w:val="left"/>
        <w:tblInd w:w="0" w:type="dxa"/>
        <w:tblLayout w:type="fixed"/>
        <w:tblCellMar>
          <w:top w:w="28" w:type="dxa"/>
          <w:left w:w="28" w:type="dxa"/>
          <w:bottom w:w="28" w:type="dxa"/>
          <w:right w:w="28" w:type="dxa"/>
        </w:tblCellMar>
      </w:tblPr>
      <w:tblGrid>
        <w:gridCol w:w="3981"/>
        <w:gridCol w:w="146"/>
        <w:gridCol w:w="217"/>
        <w:gridCol w:w="766"/>
        <w:gridCol w:w="161"/>
        <w:gridCol w:w="161"/>
        <w:gridCol w:w="217"/>
        <w:gridCol w:w="666"/>
        <w:gridCol w:w="146"/>
        <w:gridCol w:w="146"/>
        <w:gridCol w:w="196"/>
        <w:gridCol w:w="601"/>
        <w:gridCol w:w="411"/>
      </w:tblGrid>
      <w:tr>
        <w:trPr/>
        <w:tc>
          <w:tcPr>
            <w:tcW w:w="3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88"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39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expenses:</w:t>
            </w:r>
          </w:p>
        </w:tc>
        <w:tc>
          <w:tcPr>
            <w:tcW w:w="146" w:type="dxa"/>
            <w:tcBorders/>
            <w:shd w:fill="CFF0FC" w:val="clear"/>
            <w:vAlign w:val="center"/>
          </w:tcPr>
          <w:p>
            <w:pPr>
              <w:pStyle w:val="TableContents"/>
              <w:bidi w:val="0"/>
              <w:spacing w:before="0" w:after="283"/>
              <w:jc w:val="left"/>
              <w:rPr/>
            </w:pPr>
            <w:r>
              <w:rPr/>
              <w:t> </w:t>
            </w:r>
          </w:p>
        </w:tc>
        <w:tc>
          <w:tcPr>
            <w:tcW w:w="983" w:type="dxa"/>
            <w:gridSpan w:val="2"/>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left"/>
              <w:rPr/>
            </w:pPr>
            <w:r>
              <w:rPr/>
              <w:t> </w:t>
            </w:r>
          </w:p>
        </w:tc>
        <w:tc>
          <w:tcPr>
            <w:tcW w:w="8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Mecbotamab vedotin, BA3011 (CAB AXL-ADC)</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24,533</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Ozuriftamab vedotin, BA3021 (CAB ROR2-ADC)</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13,530</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Evalstotug, BA3071 (CAB CTLA-4)</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17,099</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BA3182 (CAB EpCAM x CAB CD3)</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4,048</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CAB Programs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22,159</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external expenses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81,369</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Personnel and related</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12,552</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Equity-based compensation</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5,462</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Facilities and other</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4,348</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103,731</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Research and development expenses were $103.7 million and $79.3 million for the years ended December 31, 2023 and 2022, respectively. The increase of approximately $24.4 million was primarily driven by an $11.2 million increase for our Phase 2 clinical-stage ADC programs which are being developed in multiple indications, a $7.4 million increase in our CTLA4 immuno-oncology program which progressed to Phase 2 development during 2023, a $4.8 million increase for various pre-clinical programs primarily our CAB B7-H3 x CD3 bispecific program and our next generation CAB Nectin-4 ADC program which we are advancing to IND, a $1.8 million increase in personnel related costs due to an increase in headcount to support ongoing development activities for our clinical programs, and a $1.2 million increase in facility and other</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left"/>
        <w:rPr>
          <w:rFonts w:ascii="Times New Roman" w:hAnsi="Times New Roman"/>
          <w:color w:val="000000"/>
          <w:sz w:val="18"/>
        </w:rPr>
      </w:pPr>
      <w:r>
        <w:rPr>
          <w:rFonts w:ascii="Times New Roman" w:hAnsi="Times New Roman"/>
          <w:color w:val="000000"/>
          <w:sz w:val="18"/>
        </w:rPr>
        <w:t>allocated costs, offset by a decrease of $2.1 million related to our EpCAM bispecific program which completed manufacturing in 2022 and received an IND in February 2023.</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General and administrative expense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General and administrative expenses were $26.0 million and $28.8 million for the years ended December 31, 2023 and 2022, respectively. The decrease of $2.8 million was primarily driven by a decrease of $1.1 million decrease in insurance due to a decrease in premiums for our D&amp;O policy, a $1.1 million decrease in stock-based compensation related to awards issued under our 2020 Equity Incentive Plan, and a $0.7 million decrease in accounting, legal services and consulting primarily related to a $1.0 million legal settlement in 2022.</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Interest income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Interest income was $6.3 million and $1.6 million for the years ended December 31, 2023 and 2022, respectively. The increase of $4.7 million was due to higher yields earned as compared to the same period in 2022.</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Liquidity and capital resources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incurred aggregate net losses and negative cash flows from operations since our inception and anticipate we will continue to incur net losses for the foreseeable future. Since July 2020, we have funded our operations primarily through the issuance of equity. As of December 31, 2023, we had cash and cash equivalents of $111.5 million.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January 2023, the Company entered into an Open Market Sale Agreement (the “Sales Agreement”) with Jefferies LLC (“Jefferies”) acting as sales agent pursuant to which the Company may, from time to time at its sole discretion, sell shares of the Company’s common stock, with aggregate gross sales proceeds of up to $100.0 million. The Company will pay Jefferies a commission of 3.0% of the aggregate gross proceeds the Company receives from all sales of the Company’s common stock under the Sales Agreement. We have not sold any shares of our common stock under the Sales Agreement as of December 31, 2023.</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Future funding requirements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initiation, scope, rate of progress, results and costs of our preclinical studies, clinical trials and other related activities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costs associated with manufacturing our product candidates and establishing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and costs of capital expenditures to support our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number and characteristics of other product candidates that we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receipt and amount of sales from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need and ability to hire additional management,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effect of competing products that may limit market penetration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economic and other terms, timing and success of any collaboration, licensing, or other arrangements into which we may enter in the future, including the timing of receipt of any milestone or royalty payments under these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compliance and administrative costs associated with being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extent to which we acquire or invest in businesses, products or technologies, although we have no commitments or agreements relating to any of these types of transactions.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Based on our current operating plan, our current cash and cash equivalents are expected to be sufficient to fund our ongoing operations for a period of at least twelve months from the date the financial statements included in this report are issued. In addition, we have based this estimate on assumptions that may prove to be wrong, and we could utilize our available capital resources sooner than we currently expect.</w:t>
      </w:r>
    </w:p>
    <w:p>
      <w:pPr>
        <w:pStyle w:val="TextBody"/>
        <w:bidi w:val="0"/>
        <w:spacing w:before="216" w:after="283"/>
        <w:jc w:val="left"/>
        <w:rPr>
          <w:rFonts w:ascii="Times New Roman" w:hAnsi="Times New Roman"/>
          <w:sz w:val="20"/>
        </w:rPr>
      </w:pPr>
      <w:r>
        <w:rPr>
          <w:rFonts w:ascii="Times New Roman" w:hAnsi="Times New Roman"/>
          <w:color w:val="000000"/>
          <w:sz w:val="18"/>
        </w:rPr>
        <w:t>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supply chain disruptions, and geopolitical disruptions, including the recent conflict between Russia and Ukraine and the conflict between Israel and Hamas,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Cash flows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summarizes our cash flows for the periods indicated:</w:t>
      </w:r>
    </w:p>
    <w:tbl>
      <w:tblPr>
        <w:tblW w:w="5805" w:type="dxa"/>
        <w:jc w:val="left"/>
        <w:tblInd w:w="0" w:type="dxa"/>
        <w:tblLayout w:type="fixed"/>
        <w:tblCellMar>
          <w:top w:w="28" w:type="dxa"/>
          <w:left w:w="28" w:type="dxa"/>
          <w:bottom w:w="28" w:type="dxa"/>
          <w:right w:w="28" w:type="dxa"/>
        </w:tblCellMar>
      </w:tblPr>
      <w:tblGrid>
        <w:gridCol w:w="3061"/>
        <w:gridCol w:w="146"/>
        <w:gridCol w:w="202"/>
        <w:gridCol w:w="777"/>
        <w:gridCol w:w="171"/>
        <w:gridCol w:w="151"/>
        <w:gridCol w:w="202"/>
        <w:gridCol w:w="684"/>
        <w:gridCol w:w="4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87"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979" w:type="dxa"/>
            <w:gridSpan w:val="2"/>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(104,015</w:t>
            </w:r>
          </w:p>
        </w:tc>
        <w:tc>
          <w:tcPr>
            <w:tcW w:w="1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(90,420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(104,036</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CFF0FC" w:val="cle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(29,472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Cash used in operating activities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Net cash used in operating activities for the year ended December 31, 2023 was $104.0 million, which consisted of a net loss of $123.5 million, a net change of $4.7 million in our net operating assets and liabilities and $14.8 million of non-cash transactions. The net change in our operating assets and liabilities was primarily due to an increase in accounts payable and accrued expenses of $5.3 million, partially offset by a decrease in operating lease right-of-use assets and liabilities of $0.6 million. The non-cash transactions primarily consisted of $13.5 million of stock-based compensation and non-cash charges of $1.2 million related to depreciation and amortization.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Net cash used in operating activities for the year ended December 31, 2022 was $90.4 million, which consisted of a net loss of $106.5 million, a net increase of $0.3 million in our net operating assets and liabilities and $15.8 million of non-cash transactions. The net change in our operating assets and liabilities was primarily due to an increase in prepaid expenses and other assets of $2.6 million, partially offset by an increase in accounts payable and accrued expenses of $3.4 million and a net decrease in operating lease right-of-use assets and liabilities of $0.5 million. The non-cash transactions primarily consisted of $14.6 million of stock-based compensation and non-cash charges of $1.2 million related to depreciation and amortization.</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Cash used in investing activities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Cash used in investing activities was $0.1 million and $0.3 million for the years ended December 31, 2023 and 2022, respectively, primarily related to the purchase of property and equipment.</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Cash provided by financing activities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Net cash provided by financing activities was $77,000 for the year ended December 31, 2023, which consisted primarily of the net proceeds from the issuance of common stock under our Employee Stock Purchase Plan of $336,000, partially offset by payment of taxes related to the net settlement of equity awards of $259,000.</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Net cash provided by financing activities was $61.2 million for the year ended December 31, 2022, which consisted primarily of the $61.7 million net proceeds from the issuance of common stock through an underwritten offering in November 2022 and $0.3 million proceeds from the issuance of common stock under our Employee Stock Purchase Plan, partially offset by payment of taxes related to the net settlement of equity awards of $0.8 million.</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Critical accounting policies and estimates</w:t>
      </w:r>
    </w:p>
    <w:p>
      <w:pPr>
        <w:pStyle w:val="TextBody"/>
        <w:bidi w:val="0"/>
        <w:spacing w:before="108" w:after="283"/>
        <w:jc w:val="left"/>
        <w:rPr>
          <w:rFonts w:ascii="Times New Roman" w:hAnsi="Times New Roman"/>
          <w:sz w:val="20"/>
        </w:rPr>
      </w:pPr>
      <w:r>
        <w:rPr>
          <w:rFonts w:ascii="Times New Roman" w:hAnsi="Times New Roman"/>
          <w:color w:val="000000"/>
          <w:sz w:val="18"/>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While our significant accounting policies are described in the Note 1 to our financial statements included elsewhere in this Annual Report on Form 10-K, we believe that the following critical accounting policies are most important to understanding and evaluating our reported financial results.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Accrued expenses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part of the process of preparing our financial statements, we accrue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The estimates in our accrued research and development expenses include the costs incurred for services performed by our vendors in connection with research and development activities for which we have not yet been invoiced. We periodically confirm the accuracy of our estimates with the service providers and make adjustments if necessary.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pStyle w:val="TextBody"/>
        <w:bidi w:val="0"/>
        <w:spacing w:before="324" w:after="283"/>
        <w:jc w:val="left"/>
        <w:rPr>
          <w:rFonts w:ascii="Times New Roman" w:hAnsi="Times New Roman"/>
          <w:sz w:val="20"/>
        </w:rPr>
      </w:pPr>
      <w:r>
        <w:rPr>
          <w:rFonts w:ascii="Times New Roman" w:hAnsi="Times New Roman"/>
          <w:b/>
          <w:color w:val="000000"/>
          <w:sz w:val="18"/>
        </w:rPr>
        <w:t>Other company information</w:t>
      </w:r>
      <w:r>
        <w:rPr>
          <w:rFonts w:ascii="Times New Roman" w:hAnsi="Times New Roman"/>
          <w:color w:val="000000"/>
          <w:sz w:val="20"/>
        </w:rPr>
        <w:t xml:space="preserve">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Recent Accounting Pronouncements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See Note 1 to the audited financial statements included in Item 8 of this Annual Report on Form 10-K.</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Off-balance sheet arrangements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not entered into any off-balance sheet arrangements, as defined in the rules and regulations of the SEC.</w:t>
      </w:r>
    </w:p>
    <w:p>
      <w:pPr>
        <w:pStyle w:val="TextBody"/>
        <w:bidi w:val="0"/>
        <w:jc w:val="left"/>
        <w:rPr>
          <w:rFonts w:ascii="Times New Roman" w:hAnsi="Times New Roman"/>
          <w:b/>
          <w:color w:val="000000"/>
          <w:sz w:val="18"/>
        </w:rPr>
      </w:pPr>
      <w:bookmarkStart w:id="15" w:name="item_7a_quantitative_and_qualitative"/>
      <w:bookmarkEnd w:id="15"/>
      <w:r>
        <w:rPr>
          <w:rFonts w:ascii="Times New Roman" w:hAnsi="Times New Roman"/>
          <w:b/>
          <w:color w:val="000000"/>
          <w:sz w:val="18"/>
        </w:rPr>
        <w:t>ITEM 7A. Quantitative and Qualitative Disclosures About Market Risk</w:t>
      </w:r>
    </w:p>
    <w:p>
      <w:pPr>
        <w:pStyle w:val="TextBody"/>
        <w:bidi w:val="0"/>
        <w:spacing w:before="108" w:after="283"/>
        <w:jc w:val="left"/>
        <w:rPr>
          <w:rFonts w:ascii="Times New Roman" w:hAnsi="Times New Roman"/>
          <w:sz w:val="20"/>
        </w:rPr>
      </w:pPr>
      <w:r>
        <w:rPr>
          <w:rFonts w:ascii="Times New Roman" w:hAnsi="Times New Roman"/>
          <w:color w:val="000000"/>
          <w:sz w:val="18"/>
        </w:rPr>
        <w:t>Not applicable to a smaller reporting company.</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left"/>
        <w:rPr>
          <w:rFonts w:ascii="Times New Roman" w:hAnsi="Times New Roman"/>
          <w:b/>
          <w:color w:val="000000"/>
          <w:sz w:val="18"/>
        </w:rPr>
      </w:pPr>
      <w:bookmarkStart w:id="16" w:name="item_8_financial_statements"/>
      <w:bookmarkEnd w:id="16"/>
      <w:r>
        <w:rPr>
          <w:rFonts w:ascii="Times New Roman" w:hAnsi="Times New Roman"/>
          <w:b/>
          <w:color w:val="000000"/>
          <w:sz w:val="18"/>
        </w:rPr>
        <w:t>ITEM 8. Financial Statements and Supplementary Data</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BioAtla, Inc.</w:t>
      </w:r>
    </w:p>
    <w:p>
      <w:pPr>
        <w:pStyle w:val="TextBody"/>
        <w:bidi w:val="0"/>
        <w:jc w:val="left"/>
        <w:rPr/>
      </w:pPr>
      <w:r>
        <w:rPr/>
        <w:t> </w:t>
      </w:r>
    </w:p>
    <w:tbl>
      <w:tblPr>
        <w:tblW w:w="6339" w:type="dxa"/>
        <w:jc w:val="left"/>
        <w:tblInd w:w="0" w:type="dxa"/>
        <w:tblLayout w:type="fixed"/>
        <w:tblCellMar>
          <w:top w:w="28" w:type="dxa"/>
          <w:left w:w="28" w:type="dxa"/>
          <w:bottom w:w="28" w:type="dxa"/>
          <w:right w:w="28" w:type="dxa"/>
        </w:tblCellMar>
      </w:tblPr>
      <w:tblGrid>
        <w:gridCol w:w="5356"/>
        <w:gridCol w:w="146"/>
        <w:gridCol w:w="157"/>
        <w:gridCol w:w="309"/>
        <w:gridCol w:w="371"/>
      </w:tblGrid>
      <w:tr>
        <w:trPr/>
        <w:tc>
          <w:tcPr>
            <w:tcW w:w="5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5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gridSpan w:val="2"/>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Page</w:t>
            </w:r>
          </w:p>
        </w:tc>
        <w:tc>
          <w:tcPr>
            <w:tcW w:w="37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356" w:type="dxa"/>
            <w:tcBorders/>
            <w:vAlign w:val="center"/>
          </w:tcPr>
          <w:p>
            <w:pPr>
              <w:pStyle w:val="TableContents"/>
              <w:pBdr/>
              <w:bidi w:val="0"/>
              <w:spacing w:before="0" w:after="283"/>
              <w:ind w:left="0" w:right="0" w:hanging="180"/>
              <w:jc w:val="left"/>
              <w:rPr>
                <w:rFonts w:ascii="Times New Roman" w:hAnsi="Times New Roman"/>
                <w:b/>
                <w:color w:val="000000"/>
                <w:sz w:val="18"/>
              </w:rPr>
            </w:pPr>
            <w:r>
              <w:rPr>
                <w:rFonts w:ascii="Times New Roman" w:hAnsi="Times New Roman"/>
                <w:b/>
                <w:color w:val="000000"/>
                <w:sz w:val="18"/>
              </w:rPr>
              <w:t>Index to financial statements</w:t>
            </w:r>
          </w:p>
        </w:tc>
        <w:tc>
          <w:tcPr>
            <w:tcW w:w="146"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ind w:left="0" w:right="0" w:firstLine="180"/>
              <w:jc w:val="left"/>
              <w:rPr/>
            </w:pPr>
            <w:r>
              <w:rPr/>
              <w:t> </w:t>
            </w:r>
          </w:p>
        </w:tc>
      </w:tr>
      <w:tr>
        <w:trPr/>
        <w:tc>
          <w:tcPr>
            <w:tcW w:w="5356" w:type="dxa"/>
            <w:tcBorders/>
            <w:vAlign w:val="center"/>
          </w:tcPr>
          <w:p>
            <w:pPr>
              <w:pStyle w:val="TableContents"/>
              <w:pBdr/>
              <w:bidi w:val="0"/>
              <w:spacing w:before="0" w:after="283"/>
              <w:ind w:left="0" w:right="0" w:hanging="180"/>
              <w:jc w:val="left"/>
              <w:rPr/>
            </w:pPr>
            <w:hyperlink w:anchor="report_of_independent_registered">
              <w:r>
                <w:rPr>
                  <w:rStyle w:val="InternetLink"/>
                  <w:rFonts w:ascii="Times New Roman" w:hAnsi="Times New Roman"/>
                  <w:color w:val="0000FF"/>
                  <w:sz w:val="18"/>
                  <w:u w:val="single"/>
                </w:rPr>
                <w:t>Report of independent registered public accounting firm (PCAOB ID: 42)</w:t>
              </w:r>
            </w:hyperlink>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77</w:t>
            </w:r>
          </w:p>
        </w:tc>
        <w:tc>
          <w:tcPr>
            <w:tcW w:w="37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356" w:type="dxa"/>
            <w:tcBorders/>
            <w:vAlign w:val="center"/>
          </w:tcPr>
          <w:p>
            <w:pPr>
              <w:pStyle w:val="TableContents"/>
              <w:pBdr/>
              <w:bidi w:val="0"/>
              <w:spacing w:before="0" w:after="283"/>
              <w:ind w:left="0" w:right="0" w:hanging="180"/>
              <w:jc w:val="left"/>
              <w:rPr/>
            </w:pPr>
            <w:hyperlink w:anchor="consolidated_balance_sheets">
              <w:r>
                <w:rPr>
                  <w:rStyle w:val="InternetLink"/>
                  <w:rFonts w:ascii="Times New Roman" w:hAnsi="Times New Roman"/>
                  <w:color w:val="0000FF"/>
                  <w:sz w:val="18"/>
                  <w:u w:val="single"/>
                </w:rPr>
                <w:t>Balance sheets</w:t>
              </w:r>
            </w:hyperlink>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78</w:t>
            </w:r>
          </w:p>
        </w:tc>
        <w:tc>
          <w:tcPr>
            <w:tcW w:w="37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356" w:type="dxa"/>
            <w:tcBorders/>
            <w:vAlign w:val="center"/>
          </w:tcPr>
          <w:p>
            <w:pPr>
              <w:pStyle w:val="TableContents"/>
              <w:pBdr/>
              <w:bidi w:val="0"/>
              <w:spacing w:before="0" w:after="283"/>
              <w:ind w:left="0" w:right="0" w:hanging="180"/>
              <w:jc w:val="left"/>
              <w:rPr/>
            </w:pPr>
            <w:hyperlink w:anchor="consolidated_statements_of_operations">
              <w:r>
                <w:rPr>
                  <w:rStyle w:val="InternetLink"/>
                  <w:rFonts w:ascii="Times New Roman" w:hAnsi="Times New Roman"/>
                  <w:color w:val="0000FF"/>
                  <w:sz w:val="18"/>
                  <w:u w:val="single"/>
                </w:rPr>
                <w:t>Statements of operations and comprehensive loss</w:t>
              </w:r>
            </w:hyperlink>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79</w:t>
            </w:r>
          </w:p>
        </w:tc>
        <w:tc>
          <w:tcPr>
            <w:tcW w:w="37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356" w:type="dxa"/>
            <w:tcBorders/>
            <w:vAlign w:val="center"/>
          </w:tcPr>
          <w:p>
            <w:pPr>
              <w:pStyle w:val="TableContents"/>
              <w:pBdr/>
              <w:bidi w:val="0"/>
              <w:spacing w:before="0" w:after="283"/>
              <w:ind w:left="0" w:right="0" w:hanging="180"/>
              <w:jc w:val="left"/>
              <w:rPr/>
            </w:pPr>
            <w:hyperlink w:anchor="statements_of_convertible_preferred">
              <w:r>
                <w:rPr>
                  <w:rStyle w:val="InternetLink"/>
                  <w:rFonts w:ascii="Times New Roman" w:hAnsi="Times New Roman"/>
                  <w:color w:val="0000FF"/>
                  <w:sz w:val="18"/>
                  <w:u w:val="single"/>
                </w:rPr>
                <w:t>Statements of stockholders’ equity</w:t>
              </w:r>
            </w:hyperlink>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80</w:t>
            </w:r>
          </w:p>
        </w:tc>
        <w:tc>
          <w:tcPr>
            <w:tcW w:w="37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356" w:type="dxa"/>
            <w:tcBorders/>
            <w:vAlign w:val="center"/>
          </w:tcPr>
          <w:p>
            <w:pPr>
              <w:pStyle w:val="TableContents"/>
              <w:pBdr/>
              <w:bidi w:val="0"/>
              <w:spacing w:before="0" w:after="283"/>
              <w:ind w:left="0" w:right="0" w:hanging="180"/>
              <w:jc w:val="left"/>
              <w:rPr/>
            </w:pPr>
            <w:hyperlink w:anchor="consolidated_statements_of_cash_flows">
              <w:r>
                <w:rPr>
                  <w:rStyle w:val="InternetLink"/>
                  <w:rFonts w:ascii="Times New Roman" w:hAnsi="Times New Roman"/>
                  <w:color w:val="0000FF"/>
                  <w:sz w:val="18"/>
                  <w:u w:val="single"/>
                </w:rPr>
                <w:t>Statements of cash flows</w:t>
              </w:r>
            </w:hyperlink>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81</w:t>
            </w:r>
          </w:p>
        </w:tc>
        <w:tc>
          <w:tcPr>
            <w:tcW w:w="37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356" w:type="dxa"/>
            <w:tcBorders/>
            <w:vAlign w:val="center"/>
          </w:tcPr>
          <w:p>
            <w:pPr>
              <w:pStyle w:val="TableContents"/>
              <w:pBdr/>
              <w:bidi w:val="0"/>
              <w:spacing w:before="0" w:after="283"/>
              <w:ind w:left="0" w:right="0" w:hanging="180"/>
              <w:jc w:val="left"/>
              <w:rPr/>
            </w:pPr>
            <w:hyperlink w:anchor="notes_to_consolidated_financial">
              <w:r>
                <w:rPr>
                  <w:rStyle w:val="InternetLink"/>
                  <w:rFonts w:ascii="Times New Roman" w:hAnsi="Times New Roman"/>
                  <w:color w:val="0000FF"/>
                  <w:sz w:val="18"/>
                  <w:u w:val="single"/>
                </w:rPr>
                <w:t>Notes to financial statements</w:t>
              </w:r>
            </w:hyperlink>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82</w:t>
            </w:r>
          </w:p>
        </w:tc>
        <w:tc>
          <w:tcPr>
            <w:tcW w:w="3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bookmarkStart w:id="17" w:name="report_of_independent_registered"/>
      <w:bookmarkEnd w:id="17"/>
      <w:r>
        <w:rPr>
          <w:rFonts w:ascii="Times New Roman" w:hAnsi="Times New Roman"/>
          <w:b/>
          <w:color w:val="000000"/>
          <w:sz w:val="18"/>
        </w:rPr>
        <w:t>Report of Independent Registered Public Accounting Firm</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To the Stockholders and the Board of Directors of BioAtla, Inc.</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Opinion on the Financial Statements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audited the accompanying balance sheets of BioAtla, Inc. (the Company) as of December 31, 2023 and 2022, the related statements of operations and comprehensive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Basis for Opinion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16" w:after="283"/>
        <w:jc w:val="left"/>
        <w:rPr>
          <w:rFonts w:ascii="Times New Roman" w:hAnsi="Times New Roman"/>
          <w:sz w:val="20"/>
        </w:rPr>
      </w:pPr>
      <w:r>
        <w:rPr>
          <w:rFonts w:ascii="Times New Roman" w:hAnsi="Times New Roman"/>
          <w:b/>
          <w:color w:val="000000"/>
          <w:sz w:val="18"/>
        </w:rPr>
        <w:t>Critical Audit Matter</w:t>
      </w:r>
      <w:r>
        <w:rPr>
          <w:rFonts w:ascii="Times New Roman" w:hAnsi="Times New Roman"/>
          <w:color w:val="000000"/>
          <w:sz w:val="20"/>
        </w:rPr>
        <w:t xml:space="preserve"> </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78"/>
        <w:gridCol w:w="146"/>
        <w:gridCol w:w="8781"/>
      </w:tblGrid>
      <w:tr>
        <w:trPr/>
        <w:tc>
          <w:tcPr>
            <w:tcW w:w="1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81" w:type="dxa"/>
            <w:tcBorders/>
            <w:vAlign w:val="center"/>
          </w:tcPr>
          <w:p>
            <w:pPr>
              <w:pStyle w:val="TableContents"/>
              <w:bidi w:val="0"/>
              <w:spacing w:before="0" w:after="283"/>
              <w:jc w:val="left"/>
              <w:rPr>
                <w:sz w:val="4"/>
                <w:szCs w:val="4"/>
              </w:rPr>
            </w:pPr>
            <w:r>
              <w:rPr>
                <w:sz w:val="4"/>
                <w:szCs w:val="4"/>
              </w:rPr>
            </w:r>
          </w:p>
        </w:tc>
      </w:tr>
      <w:tr>
        <w:trPr/>
        <w:tc>
          <w:tcPr>
            <w:tcW w:w="1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81" w:type="dxa"/>
            <w:tcBorders/>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Accrual of Clinical Trial Expenses</w:t>
            </w:r>
          </w:p>
        </w:tc>
      </w:tr>
      <w:tr>
        <w:trPr/>
        <w:tc>
          <w:tcPr>
            <w:tcW w:w="1278" w:type="dxa"/>
            <w:tcBorders/>
            <w:vAlign w:val="center"/>
          </w:tcPr>
          <w:p>
            <w:pPr>
              <w:pStyle w:val="TableContents"/>
              <w:bidi w:val="0"/>
              <w:spacing w:before="16" w:after="283"/>
              <w:jc w:val="left"/>
              <w:rPr/>
            </w:pPr>
            <w:r>
              <w:rPr/>
              <w:t> </w:t>
            </w:r>
          </w:p>
        </w:tc>
        <w:tc>
          <w:tcPr>
            <w:tcW w:w="146" w:type="dxa"/>
            <w:tcBorders/>
            <w:vAlign w:val="center"/>
          </w:tcPr>
          <w:p>
            <w:pPr>
              <w:pStyle w:val="TableContents"/>
              <w:bidi w:val="0"/>
              <w:spacing w:before="16" w:after="283"/>
              <w:jc w:val="left"/>
              <w:rPr/>
            </w:pPr>
            <w:r>
              <w:rPr/>
              <w:t> </w:t>
            </w:r>
          </w:p>
        </w:tc>
        <w:tc>
          <w:tcPr>
            <w:tcW w:w="8781" w:type="dxa"/>
            <w:tcBorders/>
            <w:vAlign w:val="center"/>
          </w:tcPr>
          <w:p>
            <w:pPr>
              <w:pStyle w:val="TableContents"/>
              <w:bidi w:val="0"/>
              <w:spacing w:before="16" w:after="283"/>
              <w:jc w:val="left"/>
              <w:rPr/>
            </w:pPr>
            <w:r>
              <w:rPr/>
              <w:t> </w:t>
            </w:r>
          </w:p>
        </w:tc>
      </w:tr>
      <w:tr>
        <w:trPr/>
        <w:tc>
          <w:tcPr>
            <w:tcW w:w="1278" w:type="dxa"/>
            <w:tcBorders/>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Description of the Matter</w:t>
            </w:r>
          </w:p>
        </w:tc>
        <w:tc>
          <w:tcPr>
            <w:tcW w:w="146" w:type="dxa"/>
            <w:tcBorders/>
            <w:vAlign w:val="center"/>
          </w:tcPr>
          <w:p>
            <w:pPr>
              <w:pStyle w:val="TableContents"/>
              <w:bidi w:val="0"/>
              <w:spacing w:before="0" w:after="283"/>
              <w:jc w:val="left"/>
              <w:rPr>
                <w:sz w:val="4"/>
                <w:szCs w:val="4"/>
              </w:rPr>
            </w:pPr>
            <w:r>
              <w:rPr>
                <w:sz w:val="4"/>
                <w:szCs w:val="4"/>
              </w:rPr>
            </w:r>
          </w:p>
        </w:tc>
        <w:tc>
          <w:tcPr>
            <w:tcW w:w="8781" w:type="dxa"/>
            <w:tcBorders/>
            <w:vAlign w:val="center"/>
          </w:tcPr>
          <w:p>
            <w:pPr>
              <w:pStyle w:val="TableContents"/>
              <w:bidi w:val="0"/>
              <w:jc w:val="both"/>
              <w:rPr>
                <w:rFonts w:ascii="Times New Roman" w:hAnsi="Times New Roman"/>
                <w:color w:val="000000"/>
                <w:sz w:val="18"/>
              </w:rPr>
            </w:pPr>
            <w:r>
              <w:rPr>
                <w:rFonts w:ascii="Times New Roman" w:hAnsi="Times New Roman"/>
                <w:color w:val="000000"/>
                <w:sz w:val="18"/>
              </w:rPr>
              <w:t>During 2023, the Company incurred $103.7 million for research and development expenses and as of December 31, 2023 accrued $12.5 million for clinical trial costs. A substantial portion of the Company’s ongoing research and development activities are conducted by third-party service providers, including clinical research organizations (“CROs”). External costs to be paid to CROs are accrued and expensed based upon actual work completed in accordance with signed agreements.</w:t>
            </w:r>
          </w:p>
          <w:p>
            <w:pPr>
              <w:pStyle w:val="TableContents"/>
              <w:bidi w:val="0"/>
              <w:spacing w:before="108" w:after="283"/>
              <w:jc w:val="both"/>
              <w:rPr>
                <w:rFonts w:ascii="Times New Roman" w:hAnsi="Times New Roman"/>
                <w:color w:val="000000"/>
                <w:sz w:val="18"/>
              </w:rPr>
            </w:pPr>
            <w:r>
              <w:rPr>
                <w:rFonts w:ascii="Times New Roman" w:hAnsi="Times New Roman"/>
                <w:color w:val="000000"/>
                <w:sz w:val="18"/>
              </w:rPr>
              <w:t>Auditing management’s accounting for accrued clinical trial costs is especially challenging because the evaluation is dependent upon a high-volume of data and input exchanged between clinical personnel and third-party service providers, such as the total trial management costs, number of sites activated, the number of patients enrolled, and the number of patient visits, which is tracked in spreadsheets and other end user computing programs.</w:t>
            </w:r>
          </w:p>
        </w:tc>
      </w:tr>
      <w:tr>
        <w:trPr/>
        <w:tc>
          <w:tcPr>
            <w:tcW w:w="1278" w:type="dxa"/>
            <w:tcBorders/>
            <w:vAlign w:val="center"/>
          </w:tcPr>
          <w:p>
            <w:pPr>
              <w:pStyle w:val="TableContents"/>
              <w:bidi w:val="0"/>
              <w:spacing w:before="16" w:after="283"/>
              <w:jc w:val="left"/>
              <w:rPr/>
            </w:pPr>
            <w:r>
              <w:rPr/>
              <w:t> </w:t>
            </w:r>
          </w:p>
        </w:tc>
        <w:tc>
          <w:tcPr>
            <w:tcW w:w="146" w:type="dxa"/>
            <w:tcBorders/>
            <w:vAlign w:val="center"/>
          </w:tcPr>
          <w:p>
            <w:pPr>
              <w:pStyle w:val="TableContents"/>
              <w:bidi w:val="0"/>
              <w:spacing w:before="16" w:after="283"/>
              <w:jc w:val="left"/>
              <w:rPr/>
            </w:pPr>
            <w:r>
              <w:rPr/>
              <w:t> </w:t>
            </w:r>
          </w:p>
        </w:tc>
        <w:tc>
          <w:tcPr>
            <w:tcW w:w="8781" w:type="dxa"/>
            <w:tcBorders/>
            <w:vAlign w:val="center"/>
          </w:tcPr>
          <w:p>
            <w:pPr>
              <w:pStyle w:val="TableContents"/>
              <w:bidi w:val="0"/>
              <w:spacing w:before="16" w:after="283"/>
              <w:jc w:val="both"/>
              <w:rPr/>
            </w:pPr>
            <w:r>
              <w:rPr/>
              <w:t> </w:t>
            </w:r>
          </w:p>
        </w:tc>
      </w:tr>
      <w:tr>
        <w:trPr/>
        <w:tc>
          <w:tcPr>
            <w:tcW w:w="1278" w:type="dxa"/>
            <w:tcBorders/>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How We Addressed the Matter in Our Audit</w:t>
            </w:r>
          </w:p>
        </w:tc>
        <w:tc>
          <w:tcPr>
            <w:tcW w:w="146" w:type="dxa"/>
            <w:tcBorders/>
            <w:vAlign w:val="center"/>
          </w:tcPr>
          <w:p>
            <w:pPr>
              <w:pStyle w:val="TableContents"/>
              <w:bidi w:val="0"/>
              <w:spacing w:before="0" w:after="283"/>
              <w:jc w:val="left"/>
              <w:rPr>
                <w:sz w:val="4"/>
                <w:szCs w:val="4"/>
              </w:rPr>
            </w:pPr>
            <w:r>
              <w:rPr>
                <w:sz w:val="4"/>
                <w:szCs w:val="4"/>
              </w:rPr>
            </w:r>
          </w:p>
        </w:tc>
        <w:tc>
          <w:tcPr>
            <w:tcW w:w="8781" w:type="dxa"/>
            <w:tcBorders/>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To test the completeness of the Company’s accrued clinical trial expenses, we obtained from third-parties confirmation of the number of patients enrolled and costs billed but unpaid as of year-end for significant clinical trials. We obtained an understanding of the status of significant clinical trial activities from accounting personnel and the clinical project managers. To assess the appropriate measurement of accrued clinical trial expenses, we inspected key terms, timelines of completion, activities and costs for a sample of vendor contracts, including amendments, and compared these to management’s analyses used in tracking the progress of service agreements. We also tested a sample of subsequent payments by agreeing the amount of the payment to the invoice and to the amount accrued.</w:t>
            </w:r>
          </w:p>
        </w:tc>
      </w:tr>
    </w:tbl>
    <w:p>
      <w:pPr>
        <w:pStyle w:val="TextBody"/>
        <w:bidi w:val="0"/>
        <w:spacing w:before="220" w:after="283"/>
        <w:jc w:val="left"/>
        <w:rPr>
          <w:rFonts w:ascii="Times New Roman" w:hAnsi="Times New Roman"/>
          <w:color w:val="000000"/>
          <w:sz w:val="18"/>
        </w:rPr>
      </w:pPr>
      <w:r>
        <w:rPr>
          <w:rFonts w:ascii="Times New Roman" w:hAnsi="Times New Roman"/>
          <w:color w:val="000000"/>
          <w:sz w:val="18"/>
        </w:rPr>
        <w:t>/s/ Ernst &amp; Young LLP</w:t>
      </w:r>
    </w:p>
    <w:p>
      <w:pPr>
        <w:pStyle w:val="TextBody"/>
        <w:bidi w:val="0"/>
        <w:jc w:val="left"/>
        <w:rPr>
          <w:rFonts w:ascii="Times New Roman" w:hAnsi="Times New Roman"/>
          <w:color w:val="000000"/>
          <w:sz w:val="18"/>
        </w:rPr>
      </w:pPr>
      <w:r>
        <w:rPr>
          <w:rFonts w:ascii="Times New Roman" w:hAnsi="Times New Roman"/>
          <w:color w:val="000000"/>
          <w:sz w:val="18"/>
        </w:rPr>
        <w:t>We have served as the Company’s auditor since 2016.</w:t>
      </w:r>
    </w:p>
    <w:p>
      <w:pPr>
        <w:pStyle w:val="TextBody"/>
        <w:bidi w:val="0"/>
        <w:jc w:val="left"/>
        <w:rPr>
          <w:rFonts w:ascii="Times New Roman" w:hAnsi="Times New Roman"/>
          <w:color w:val="000000"/>
          <w:sz w:val="18"/>
        </w:rPr>
      </w:pPr>
      <w:r>
        <w:rPr>
          <w:rFonts w:ascii="Times New Roman" w:hAnsi="Times New Roman"/>
          <w:color w:val="000000"/>
          <w:sz w:val="18"/>
        </w:rPr>
        <w:t>San Diego, California</w:t>
      </w:r>
    </w:p>
    <w:p>
      <w:pPr>
        <w:pStyle w:val="TextBody"/>
        <w:bidi w:val="0"/>
        <w:jc w:val="left"/>
        <w:rPr>
          <w:rFonts w:ascii="Times New Roman" w:hAnsi="Times New Roman"/>
          <w:sz w:val="20"/>
        </w:rPr>
      </w:pPr>
      <w:r>
        <w:rPr>
          <w:rFonts w:ascii="Times New Roman" w:hAnsi="Times New Roman"/>
          <w:color w:val="000000"/>
          <w:sz w:val="18"/>
        </w:rPr>
        <w:t>March</w:t>
      </w:r>
      <w:r>
        <w:rPr>
          <w:rFonts w:ascii="Times New Roman" w:hAnsi="Times New Roman"/>
          <w:color w:val="000000"/>
          <w:sz w:val="20"/>
        </w:rPr>
        <w:t xml:space="preserve"> </w:t>
      </w:r>
      <w:r>
        <w:rPr>
          <w:rFonts w:ascii="Times New Roman" w:hAnsi="Times New Roman"/>
          <w:color w:val="000000"/>
          <w:sz w:val="18"/>
        </w:rPr>
        <w:t>26, 2024</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b/>
          <w:color w:val="000000"/>
          <w:sz w:val="18"/>
        </w:rPr>
      </w:pPr>
      <w:bookmarkStart w:id="18" w:name="consolidated_balance_sheets"/>
      <w:bookmarkEnd w:id="18"/>
      <w:r>
        <w:rPr>
          <w:rFonts w:ascii="Times New Roman" w:hAnsi="Times New Roman"/>
          <w:b/>
          <w:color w:val="000000"/>
          <w:sz w:val="18"/>
        </w:rPr>
        <w:t>Balance Sheets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amounts)</w:t>
      </w:r>
    </w:p>
    <w:tbl>
      <w:tblPr>
        <w:tblW w:w="8884" w:type="dxa"/>
        <w:jc w:val="left"/>
        <w:tblInd w:w="0" w:type="dxa"/>
        <w:tblLayout w:type="fixed"/>
        <w:tblCellMar>
          <w:top w:w="28" w:type="dxa"/>
          <w:left w:w="28" w:type="dxa"/>
          <w:bottom w:w="28" w:type="dxa"/>
          <w:right w:w="28" w:type="dxa"/>
        </w:tblCellMar>
      </w:tblPr>
      <w:tblGrid>
        <w:gridCol w:w="6141"/>
        <w:gridCol w:w="146"/>
        <w:gridCol w:w="196"/>
        <w:gridCol w:w="751"/>
        <w:gridCol w:w="166"/>
        <w:gridCol w:w="146"/>
        <w:gridCol w:w="196"/>
        <w:gridCol w:w="751"/>
        <w:gridCol w:w="391"/>
      </w:tblGrid>
      <w:tr>
        <w:trPr/>
        <w:tc>
          <w:tcPr>
            <w:tcW w:w="6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1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215,507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220,431</w:t>
            </w:r>
          </w:p>
        </w:tc>
        <w:tc>
          <w:tcPr>
            <w:tcW w:w="391" w:type="dxa"/>
            <w:tcBorders/>
            <w:shd w:fill="CFF0FC" w:val="clear"/>
            <w:vAlign w:val="center"/>
          </w:tcPr>
          <w:p>
            <w:pPr>
              <w:pStyle w:val="TableContents"/>
              <w:bidi w:val="0"/>
              <w:spacing w:before="0" w:after="283"/>
              <w:jc w:val="left"/>
              <w:rPr/>
            </w:pPr>
            <w:r>
              <w:rPr/>
              <w:t> </w:t>
            </w:r>
          </w:p>
        </w:tc>
      </w:tr>
      <w:tr>
        <w:trPr/>
        <w:tc>
          <w:tcPr>
            <w:tcW w:w="61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2,728</w:t>
            </w:r>
          </w:p>
        </w:tc>
        <w:tc>
          <w:tcPr>
            <w:tcW w:w="391" w:type="dxa"/>
            <w:tcBorders/>
            <w:shd w:fill="FFFFFF" w:val="clear"/>
            <w:vAlign w:val="center"/>
          </w:tcPr>
          <w:p>
            <w:pPr>
              <w:pStyle w:val="TableContents"/>
              <w:bidi w:val="0"/>
              <w:spacing w:before="0" w:after="283"/>
              <w:jc w:val="left"/>
              <w:rPr/>
            </w:pPr>
            <w:r>
              <w:rPr/>
              <w:t> </w:t>
            </w:r>
          </w:p>
        </w:tc>
      </w:tr>
      <w:tr>
        <w:trPr/>
        <w:tc>
          <w:tcPr>
            <w:tcW w:w="61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right-of-use-asset,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2,423</w:t>
            </w:r>
          </w:p>
        </w:tc>
        <w:tc>
          <w:tcPr>
            <w:tcW w:w="391" w:type="dxa"/>
            <w:tcBorders/>
            <w:shd w:fill="CFF0FC" w:val="clear"/>
            <w:vAlign w:val="center"/>
          </w:tcPr>
          <w:p>
            <w:pPr>
              <w:pStyle w:val="TableContents"/>
              <w:bidi w:val="0"/>
              <w:spacing w:before="0" w:after="283"/>
              <w:jc w:val="left"/>
              <w:rPr/>
            </w:pPr>
            <w:r>
              <w:rPr/>
              <w:t> </w:t>
            </w:r>
          </w:p>
        </w:tc>
      </w:tr>
      <w:tr>
        <w:trPr/>
        <w:tc>
          <w:tcPr>
            <w:tcW w:w="61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225,736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61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23,131</w:t>
            </w:r>
          </w:p>
        </w:tc>
        <w:tc>
          <w:tcPr>
            <w:tcW w:w="391" w:type="dxa"/>
            <w:tcBorders/>
            <w:shd w:fill="FFFFFF" w:val="clear"/>
            <w:vAlign w:val="center"/>
          </w:tcPr>
          <w:p>
            <w:pPr>
              <w:pStyle w:val="TableContents"/>
              <w:bidi w:val="0"/>
              <w:spacing w:before="0" w:after="283"/>
              <w:jc w:val="left"/>
              <w:rPr/>
            </w:pPr>
            <w:r>
              <w:rPr/>
              <w:t> </w:t>
            </w:r>
          </w:p>
        </w:tc>
      </w:tr>
      <w:tr>
        <w:trPr/>
        <w:tc>
          <w:tcPr>
            <w:tcW w:w="61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less current portion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2,460</w:t>
            </w:r>
          </w:p>
        </w:tc>
        <w:tc>
          <w:tcPr>
            <w:tcW w:w="391" w:type="dxa"/>
            <w:tcBorders/>
            <w:shd w:fill="CFF0FC" w:val="clear"/>
            <w:vAlign w:val="center"/>
          </w:tcPr>
          <w:p>
            <w:pPr>
              <w:pStyle w:val="TableContents"/>
              <w:bidi w:val="0"/>
              <w:spacing w:before="0" w:after="283"/>
              <w:jc w:val="left"/>
              <w:rPr/>
            </w:pPr>
            <w:r>
              <w:rPr/>
              <w:t> </w:t>
            </w:r>
          </w:p>
        </w:tc>
      </w:tr>
      <w:tr>
        <w:trPr/>
        <w:tc>
          <w:tcPr>
            <w:tcW w:w="61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Liability to licensor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45,397</w:t>
            </w:r>
          </w:p>
        </w:tc>
        <w:tc>
          <w:tcPr>
            <w:tcW w:w="391" w:type="dxa"/>
            <w:tcBorders/>
            <w:shd w:fill="CFF0FC" w:val="clear"/>
            <w:vAlign w:val="center"/>
          </w:tcPr>
          <w:p>
            <w:pPr>
              <w:pStyle w:val="TableContents"/>
              <w:bidi w:val="0"/>
              <w:spacing w:before="0" w:after="283"/>
              <w:jc w:val="left"/>
              <w:rPr/>
            </w:pPr>
            <w:r>
              <w:rPr/>
              <w:t> </w:t>
            </w:r>
          </w:p>
        </w:tc>
      </w:tr>
      <w:tr>
        <w:trPr/>
        <w:tc>
          <w:tcPr>
            <w:tcW w:w="61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5)</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61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14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200,000,000</w:t>
            </w:r>
            <w:r>
              <w:rPr>
                <w:rFonts w:ascii="Times New Roman" w:hAnsi="Times New Roman"/>
                <w:color w:val="000000"/>
                <w:sz w:val="20"/>
              </w:rPr>
              <w:t> </w:t>
            </w:r>
            <w:r>
              <w:rPr>
                <w:rFonts w:ascii="Times New Roman" w:hAnsi="Times New Roman"/>
                <w:color w:val="000000"/>
                <w:sz w:val="18"/>
              </w:rPr>
              <w:t xml:space="preserve">shares authorized at </w:t>
              <w:br/>
              <w:t>   December 31, 2023 and December 31, 2022; 0</w:t>
            </w:r>
            <w:r>
              <w:rPr>
                <w:rFonts w:ascii="Times New Roman" w:hAnsi="Times New Roman"/>
                <w:color w:val="000000"/>
                <w:sz w:val="20"/>
              </w:rPr>
              <w:t> </w:t>
            </w:r>
            <w:r>
              <w:rPr>
                <w:rFonts w:ascii="Times New Roman" w:hAnsi="Times New Roman"/>
                <w:color w:val="000000"/>
                <w:sz w:val="18"/>
              </w:rPr>
              <w:t xml:space="preserve">shares issued and outstanding at </w:t>
              <w:br/>
              <w:t>   December 31, 2023 and December 31, 2022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14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350,000,000</w:t>
            </w:r>
            <w:r>
              <w:rPr>
                <w:rFonts w:ascii="Times New Roman" w:hAnsi="Times New Roman"/>
                <w:color w:val="000000"/>
                <w:sz w:val="20"/>
              </w:rPr>
              <w:t> </w:t>
            </w:r>
            <w:r>
              <w:rPr>
                <w:rFonts w:ascii="Times New Roman" w:hAnsi="Times New Roman"/>
                <w:color w:val="000000"/>
                <w:sz w:val="18"/>
              </w:rPr>
              <w:t xml:space="preserve">shares authorized at </w:t>
              <w:br/>
              <w:t>   December 31, 2023 and December 31, 2022; 48,077,599</w:t>
            </w:r>
            <w:r>
              <w:rPr>
                <w:rFonts w:ascii="Times New Roman" w:hAnsi="Times New Roman"/>
                <w:color w:val="000000"/>
                <w:sz w:val="20"/>
              </w:rPr>
              <w:t> </w:t>
            </w:r>
            <w:r>
              <w:rPr>
                <w:rFonts w:ascii="Times New Roman" w:hAnsi="Times New Roman"/>
                <w:color w:val="000000"/>
                <w:sz w:val="18"/>
              </w:rPr>
              <w:t>and 46,336,166</w:t>
            </w:r>
            <w:r>
              <w:rPr>
                <w:rFonts w:ascii="Times New Roman" w:hAnsi="Times New Roman"/>
                <w:color w:val="000000"/>
                <w:sz w:val="20"/>
              </w:rPr>
              <w:t> </w:t>
            </w:r>
            <w:r>
              <w:rPr>
                <w:rFonts w:ascii="Times New Roman" w:hAnsi="Times New Roman"/>
                <w:color w:val="000000"/>
                <w:sz w:val="18"/>
              </w:rPr>
              <w:br/>
              <w:t>   shares issued and outstanding at December 31, 2023 and December 31, 2022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14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Class B common stock, $0.0001</w:t>
            </w:r>
            <w:r>
              <w:rPr>
                <w:rFonts w:ascii="Times New Roman" w:hAnsi="Times New Roman"/>
                <w:color w:val="000000"/>
                <w:sz w:val="20"/>
              </w:rPr>
              <w:t> </w:t>
            </w:r>
            <w:r>
              <w:rPr>
                <w:rFonts w:ascii="Times New Roman" w:hAnsi="Times New Roman"/>
                <w:color w:val="000000"/>
                <w:sz w:val="18"/>
              </w:rPr>
              <w:t>par value; 15,368,569</w:t>
            </w:r>
            <w:r>
              <w:rPr>
                <w:rFonts w:ascii="Times New Roman" w:hAnsi="Times New Roman"/>
                <w:color w:val="000000"/>
                <w:sz w:val="20"/>
              </w:rPr>
              <w:t> </w:t>
            </w:r>
            <w:r>
              <w:rPr>
                <w:rFonts w:ascii="Times New Roman" w:hAnsi="Times New Roman"/>
                <w:color w:val="000000"/>
                <w:sz w:val="18"/>
              </w:rPr>
              <w:t xml:space="preserve">shares authorized at </w:t>
              <w:br/>
              <w:t>   December 31, 2023 and December 31, 2022; 0</w:t>
            </w:r>
            <w:r>
              <w:rPr>
                <w:rFonts w:ascii="Times New Roman" w:hAnsi="Times New Roman"/>
                <w:color w:val="000000"/>
                <w:sz w:val="20"/>
              </w:rPr>
              <w:t> </w:t>
            </w:r>
            <w:r>
              <w:rPr>
                <w:rFonts w:ascii="Times New Roman" w:hAnsi="Times New Roman"/>
                <w:color w:val="000000"/>
                <w:sz w:val="18"/>
              </w:rPr>
              <w:t>and 1,211,959</w:t>
              <w:br/>
              <w:t>   shares issued and outstanding at December 31, 2023 and December 31, 2022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486,930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473,135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225,736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b/>
          <w:color w:val="000000"/>
          <w:sz w:val="18"/>
        </w:rPr>
      </w:pPr>
      <w:bookmarkStart w:id="19" w:name="consolidated_statements_of_operations"/>
      <w:bookmarkEnd w:id="19"/>
      <w:r>
        <w:rPr>
          <w:rFonts w:ascii="Times New Roman" w:hAnsi="Times New Roman"/>
          <w:b/>
          <w:color w:val="000000"/>
          <w:sz w:val="18"/>
        </w:rPr>
        <w:t>Statements of operations and comprehensive loss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amounts)</w:t>
      </w:r>
    </w:p>
    <w:p>
      <w:pPr>
        <w:pStyle w:val="TextBody"/>
        <w:bidi w:val="0"/>
        <w:jc w:val="left"/>
        <w:rPr/>
      </w:pPr>
      <w:r>
        <w:rPr/>
        <w:t> </w:t>
      </w:r>
    </w:p>
    <w:tbl>
      <w:tblPr>
        <w:tblW w:w="8384" w:type="dxa"/>
        <w:jc w:val="left"/>
        <w:tblInd w:w="0" w:type="dxa"/>
        <w:tblLayout w:type="fixed"/>
        <w:tblCellMar>
          <w:top w:w="28" w:type="dxa"/>
          <w:left w:w="28" w:type="dxa"/>
          <w:bottom w:w="28" w:type="dxa"/>
          <w:right w:w="28" w:type="dxa"/>
        </w:tblCellMar>
      </w:tblPr>
      <w:tblGrid>
        <w:gridCol w:w="5311"/>
        <w:gridCol w:w="146"/>
        <w:gridCol w:w="196"/>
        <w:gridCol w:w="916"/>
        <w:gridCol w:w="166"/>
        <w:gridCol w:w="146"/>
        <w:gridCol w:w="196"/>
        <w:gridCol w:w="916"/>
        <w:gridCol w:w="3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91" w:type="dxa"/>
            <w:tcBorders/>
            <w:shd w:fill="FFFFFF" w:val="clear"/>
            <w:vAlign w:val="center"/>
          </w:tcPr>
          <w:p>
            <w:pPr>
              <w:pStyle w:val="TableContents"/>
              <w:bidi w:val="0"/>
              <w:spacing w:before="0" w:after="283"/>
              <w:jc w:val="center"/>
              <w:rPr/>
            </w:pPr>
            <w:r>
              <w:rPr/>
              <w:t> </w:t>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79,347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 expense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(129,687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(108,140</w:t>
            </w:r>
          </w:p>
        </w:tc>
        <w:tc>
          <w:tcPr>
            <w:tcW w:w="3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and comprehensive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(106,482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of common stock outstanding,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47,777,568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38,927,268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16" w:after="283"/>
        <w:jc w:val="center"/>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sz w:val="20"/>
        </w:rPr>
      </w:pPr>
      <w:bookmarkStart w:id="20" w:name="statements_of_convertible_preferred"/>
      <w:bookmarkEnd w:id="20"/>
      <w:r>
        <w:rPr>
          <w:rFonts w:ascii="Times New Roman" w:hAnsi="Times New Roman"/>
          <w:b/>
          <w:color w:val="000000"/>
          <w:sz w:val="18"/>
        </w:rPr>
        <w:t>Statements of</w:t>
      </w:r>
      <w:r>
        <w:rPr>
          <w:rFonts w:ascii="Times New Roman" w:hAnsi="Times New Roman"/>
          <w:color w:val="000000"/>
          <w:sz w:val="20"/>
        </w:rPr>
        <w:t xml:space="preserve"> </w:t>
      </w:r>
      <w:r>
        <w:rPr>
          <w:rFonts w:ascii="Times New Roman" w:hAnsi="Times New Roman"/>
          <w:b/>
          <w:color w:val="000000"/>
          <w:sz w:val="18"/>
        </w:rPr>
        <w:t>stockholders’ equity</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amounts)</w:t>
      </w:r>
    </w:p>
    <w:p>
      <w:pPr>
        <w:pStyle w:val="TextBody"/>
        <w:bidi w:val="0"/>
        <w:jc w:val="left"/>
        <w:rPr/>
      </w:pPr>
      <w:r>
        <w:rPr/>
        <w:t> </w:t>
      </w:r>
    </w:p>
    <w:tbl>
      <w:tblPr>
        <w:tblW w:w="10399" w:type="dxa"/>
        <w:jc w:val="left"/>
        <w:tblInd w:w="0" w:type="dxa"/>
        <w:tblLayout w:type="fixed"/>
        <w:tblCellMar>
          <w:top w:w="28" w:type="dxa"/>
          <w:left w:w="28" w:type="dxa"/>
          <w:bottom w:w="28" w:type="dxa"/>
          <w:right w:w="28" w:type="dxa"/>
        </w:tblCellMar>
      </w:tblPr>
      <w:tblGrid>
        <w:gridCol w:w="1296"/>
        <w:gridCol w:w="146"/>
        <w:gridCol w:w="146"/>
        <w:gridCol w:w="916"/>
        <w:gridCol w:w="146"/>
        <w:gridCol w:w="146"/>
        <w:gridCol w:w="271"/>
        <w:gridCol w:w="480"/>
        <w:gridCol w:w="146"/>
        <w:gridCol w:w="146"/>
        <w:gridCol w:w="146"/>
        <w:gridCol w:w="886"/>
        <w:gridCol w:w="166"/>
        <w:gridCol w:w="146"/>
        <w:gridCol w:w="271"/>
        <w:gridCol w:w="480"/>
        <w:gridCol w:w="146"/>
        <w:gridCol w:w="146"/>
        <w:gridCol w:w="205"/>
        <w:gridCol w:w="726"/>
        <w:gridCol w:w="166"/>
        <w:gridCol w:w="146"/>
        <w:gridCol w:w="233"/>
        <w:gridCol w:w="893"/>
        <w:gridCol w:w="166"/>
        <w:gridCol w:w="146"/>
        <w:gridCol w:w="223"/>
        <w:gridCol w:w="858"/>
        <w:gridCol w:w="411"/>
      </w:tblGrid>
      <w:tr>
        <w:trPr/>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411" w:type="dxa"/>
            <w:tcBorders/>
            <w:shd w:fill="FFFFFF" w:val="clear"/>
            <w:vAlign w:val="center"/>
          </w:tcPr>
          <w:p>
            <w:pPr>
              <w:pStyle w:val="TableContents"/>
              <w:bidi w:val="0"/>
              <w:spacing w:before="0" w:after="283"/>
              <w:jc w:val="center"/>
              <w:rPr/>
            </w:pPr>
            <w:r>
              <w:rPr/>
              <w:t> </w:t>
            </w:r>
          </w:p>
        </w:tc>
      </w:tr>
      <w:tr>
        <w:trPr/>
        <w:tc>
          <w:tcPr>
            <w:tcW w:w="1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35,799,233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1,492,059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397,136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(186,319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210,821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29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Issuance of common stock, net of $3,318</w:t>
            </w:r>
            <w:r>
              <w:rPr>
                <w:rFonts w:ascii="Times New Roman" w:hAnsi="Times New Roman"/>
                <w:color w:val="000000"/>
                <w:sz w:val="20"/>
              </w:rPr>
              <w:t> </w:t>
            </w:r>
            <w:r>
              <w:rPr>
                <w:rFonts w:ascii="Times New Roman" w:hAnsi="Times New Roman"/>
                <w:color w:val="000000"/>
                <w:sz w:val="18"/>
              </w:rPr>
              <w:t>of issuance costs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9,745,128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61,682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Conversion of Class B Common Stock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(280,100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46,336,166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473,135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(292,801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180,339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318,634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for director compensation</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Conversion of Class B Common Stock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(1,211,959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(123,462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(123,462</w:t>
            </w:r>
          </w:p>
        </w:tc>
        <w:tc>
          <w:tcPr>
            <w:tcW w:w="4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48,077,599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486,930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(416,263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70,672</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b/>
          <w:color w:val="000000"/>
          <w:sz w:val="18"/>
        </w:rPr>
      </w:pPr>
      <w:bookmarkStart w:id="21" w:name="consolidated_statements_of_cash_flows"/>
      <w:bookmarkEnd w:id="21"/>
      <w:r>
        <w:rPr>
          <w:rFonts w:ascii="Times New Roman" w:hAnsi="Times New Roman"/>
          <w:b/>
          <w:color w:val="000000"/>
          <w:sz w:val="18"/>
        </w:rPr>
        <w:t>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tbl>
      <w:tblPr>
        <w:tblW w:w="8739" w:type="dxa"/>
        <w:jc w:val="left"/>
        <w:tblInd w:w="0" w:type="dxa"/>
        <w:tblLayout w:type="fixed"/>
        <w:tblCellMar>
          <w:top w:w="28" w:type="dxa"/>
          <w:left w:w="28" w:type="dxa"/>
          <w:bottom w:w="28" w:type="dxa"/>
          <w:right w:w="28" w:type="dxa"/>
        </w:tblCellMar>
      </w:tblPr>
      <w:tblGrid>
        <w:gridCol w:w="5776"/>
        <w:gridCol w:w="146"/>
        <w:gridCol w:w="196"/>
        <w:gridCol w:w="751"/>
        <w:gridCol w:w="166"/>
        <w:gridCol w:w="146"/>
        <w:gridCol w:w="196"/>
        <w:gridCol w:w="751"/>
        <w:gridCol w:w="611"/>
      </w:tblGrid>
      <w:tr>
        <w:trPr/>
        <w:tc>
          <w:tcPr>
            <w:tcW w:w="5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7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(123,462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(106,482</w:t>
            </w:r>
          </w:p>
        </w:tc>
        <w:tc>
          <w:tcPr>
            <w:tcW w:w="6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57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7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Right-of-use assets and lease liabilities,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(104,015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(90,420</w:t>
            </w:r>
          </w:p>
        </w:tc>
        <w:tc>
          <w:tcPr>
            <w:tcW w:w="6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7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6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6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7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net of issuance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61,682</w:t>
            </w:r>
          </w:p>
        </w:tc>
        <w:tc>
          <w:tcPr>
            <w:tcW w:w="611" w:type="dxa"/>
            <w:tcBorders/>
            <w:shd w:fill="CFF0FC"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611" w:type="dxa"/>
            <w:tcBorders/>
            <w:shd w:fill="FFFFFF" w:val="clear"/>
            <w:vAlign w:val="center"/>
          </w:tcPr>
          <w:p>
            <w:pPr>
              <w:pStyle w:val="TableContents"/>
              <w:bidi w:val="0"/>
              <w:spacing w:before="0" w:after="283"/>
              <w:jc w:val="left"/>
              <w:rPr/>
            </w:pPr>
            <w:r>
              <w:rPr/>
              <w:t> </w:t>
            </w:r>
          </w:p>
        </w:tc>
      </w:tr>
      <w:tr>
        <w:trPr/>
        <w:tc>
          <w:tcPr>
            <w:tcW w:w="57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for taxes related to net settlement of equity awards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(104,036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(29,472</w:t>
            </w:r>
          </w:p>
        </w:tc>
        <w:tc>
          <w:tcPr>
            <w:tcW w:w="6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244,979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215,507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7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additions included in accounts payable and accrued</w:t>
              <w:br/>
              <w:t>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Tax related to net settlement of equity awards included in accounts payable and </w:t>
              <w:br/>
              <w:t>   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b/>
          <w:color w:val="000000"/>
          <w:sz w:val="18"/>
        </w:rPr>
      </w:pPr>
      <w:bookmarkStart w:id="22" w:name="notes_to_consolidated_financial"/>
      <w:bookmarkEnd w:id="22"/>
      <w:r>
        <w:rPr>
          <w:rFonts w:ascii="Times New Roman" w:hAnsi="Times New Roman"/>
          <w:b/>
          <w:color w:val="000000"/>
          <w:sz w:val="18"/>
        </w:rPr>
        <w:t>Notes to financial statements</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1. Organization and summary of significant accounting policies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Organization</w:t>
      </w:r>
    </w:p>
    <w:p>
      <w:pPr>
        <w:pStyle w:val="TextBody"/>
        <w:bidi w:val="0"/>
        <w:spacing w:before="108" w:after="283"/>
        <w:jc w:val="left"/>
        <w:rPr>
          <w:rFonts w:ascii="Times New Roman" w:hAnsi="Times New Roman"/>
          <w:sz w:val="20"/>
        </w:rPr>
      </w:pPr>
      <w:r>
        <w:rPr>
          <w:rFonts w:ascii="Times New Roman" w:hAnsi="Times New Roman"/>
          <w:color w:val="000000"/>
          <w:sz w:val="18"/>
        </w:rPr>
        <w:t>BioAtla, LLC was formed in Delaware</w:t>
      </w:r>
      <w:r>
        <w:rPr>
          <w:rFonts w:ascii="Times New Roman" w:hAnsi="Times New Roman"/>
          <w:color w:val="000000"/>
          <w:sz w:val="20"/>
        </w:rPr>
        <w:t xml:space="preserve"> </w:t>
      </w:r>
      <w:r>
        <w:rPr>
          <w:rFonts w:ascii="Times New Roman" w:hAnsi="Times New Roman"/>
          <w:color w:val="000000"/>
          <w:sz w:val="18"/>
        </w:rPr>
        <w:t>in March 2007</w:t>
      </w:r>
      <w:r>
        <w:rPr>
          <w:rFonts w:ascii="Times New Roman" w:hAnsi="Times New Roman"/>
          <w:color w:val="000000"/>
          <w:sz w:val="20"/>
        </w:rPr>
        <w:t xml:space="preserve"> </w:t>
      </w:r>
      <w:r>
        <w:rPr>
          <w:rFonts w:ascii="Times New Roman" w:hAnsi="Times New Roman"/>
          <w:color w:val="000000"/>
          <w:sz w:val="18"/>
        </w:rPr>
        <w:t>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its two lead CAB antibody drug conjugates (“CAB ADC”) targeting AXL and ROR2 receptors, its CAB immune-oncology antibody targeting CTLA-4, and its CAB bispecific antibody targeting EpCAM.</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Basis of Presentation</w:t>
      </w:r>
    </w:p>
    <w:p>
      <w:pPr>
        <w:pStyle w:val="TextBody"/>
        <w:bidi w:val="0"/>
        <w:spacing w:before="108" w:after="283"/>
        <w:jc w:val="left"/>
        <w:rPr>
          <w:rFonts w:ascii="Times New Roman" w:hAnsi="Times New Roman"/>
          <w:sz w:val="20"/>
        </w:rPr>
      </w:pPr>
      <w:r>
        <w:rPr>
          <w:rFonts w:ascii="Times New Roman" w:hAnsi="Times New Roman"/>
          <w:color w:val="000000"/>
          <w:sz w:val="18"/>
        </w:rPr>
        <w:t>The accompanying financial statements have been prepared in accordance with accounting principles generally accepted in the United States of America (“GAAP”). BioAtla, Inc. is a single legal entity with no consolidated variable interest entities ("VIEs") or subsidiaries</w:t>
      </w:r>
      <w:r>
        <w:rPr>
          <w:rFonts w:ascii="Times New Roman" w:hAnsi="Times New Roman"/>
          <w:color w:val="000000"/>
          <w:sz w:val="20"/>
        </w:rPr>
        <w:t xml:space="preserve"> </w:t>
      </w:r>
      <w:r>
        <w:rPr>
          <w:rFonts w:ascii="Times New Roman" w:hAnsi="Times New Roman"/>
          <w:color w:val="000000"/>
          <w:sz w:val="18"/>
        </w:rPr>
        <w:t>(see Note 8).</w:t>
      </w:r>
      <w:r>
        <w:rPr>
          <w:rFonts w:ascii="Times New Roman" w:hAnsi="Times New Roman"/>
          <w:color w:val="000000"/>
          <w:sz w:val="20"/>
        </w:rPr>
        <w:t xml:space="preserve"> </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Liquidity and Going Concern</w:t>
      </w:r>
    </w:p>
    <w:p>
      <w:pPr>
        <w:pStyle w:val="TextBody"/>
        <w:bidi w:val="0"/>
        <w:spacing w:before="108" w:after="283"/>
        <w:jc w:val="left"/>
        <w:rPr>
          <w:rFonts w:ascii="Times New Roman" w:hAnsi="Times New Roman"/>
          <w:sz w:val="20"/>
        </w:rPr>
      </w:pPr>
      <w:r>
        <w:rPr>
          <w:rFonts w:ascii="Times New Roman" w:hAnsi="Times New Roman"/>
          <w:color w:val="000000"/>
          <w:sz w:val="18"/>
        </w:rPr>
        <w:t>The Company has incurred cumulative operating losses and negative cash flows from operations since its inception and expects to continue to incur significant expenses and operating losses for the foreseeable future as it continues the development of its product candidates. As of December 31, 2023, the Company had an accumulated deficit of $416.3</w:t>
      </w:r>
      <w:r>
        <w:rPr>
          <w:rFonts w:ascii="Times New Roman" w:hAnsi="Times New Roman"/>
          <w:color w:val="000000"/>
          <w:sz w:val="20"/>
        </w:rPr>
        <w:t xml:space="preserve"> </w:t>
      </w:r>
      <w:r>
        <w:rPr>
          <w:rFonts w:ascii="Times New Roman" w:hAnsi="Times New Roman"/>
          <w:color w:val="000000"/>
          <w:sz w:val="18"/>
        </w:rPr>
        <w:t>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pStyle w:val="TextBody"/>
        <w:bidi w:val="0"/>
        <w:spacing w:before="108" w:after="283"/>
        <w:jc w:val="left"/>
        <w:rPr>
          <w:rFonts w:ascii="Times New Roman" w:hAnsi="Times New Roman"/>
          <w:sz w:val="20"/>
        </w:rPr>
      </w:pPr>
      <w:r>
        <w:rPr>
          <w:rFonts w:ascii="Times New Roman" w:hAnsi="Times New Roman"/>
          <w:color w:val="000000"/>
          <w:sz w:val="18"/>
        </w:rPr>
        <w:t>In January 2023, the Company entered into an Open Market Sale Agreement (the “Sales Agreement”) with Jefferies LLC pursuant to which the Company may, from time to time at its sole discretion, sell shares of the Company’s common stock, with aggregate gross sales proceeds of up to $100.0</w:t>
      </w:r>
      <w:r>
        <w:rPr>
          <w:rFonts w:ascii="Times New Roman" w:hAnsi="Times New Roman"/>
          <w:color w:val="000000"/>
          <w:sz w:val="20"/>
        </w:rPr>
        <w:t xml:space="preserve"> </w:t>
      </w:r>
      <w:r>
        <w:rPr>
          <w:rFonts w:ascii="Times New Roman" w:hAnsi="Times New Roman"/>
          <w:color w:val="000000"/>
          <w:sz w:val="18"/>
        </w:rPr>
        <w:t>million. The Company has not sold any shares of its common stock under the Sales Agreement as of December 31, 2023.</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as its current cash and cash equivalents will be sufficient to fund the Company’s operations for a period of at least one year from the issuance date of these financial statements.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Variable Interest Entities (“VIE”)</w:t>
      </w:r>
    </w:p>
    <w:p>
      <w:pPr>
        <w:pStyle w:val="TextBody"/>
        <w:bidi w:val="0"/>
        <w:spacing w:before="108" w:after="283"/>
        <w:jc w:val="left"/>
        <w:rPr>
          <w:rFonts w:ascii="Times New Roman" w:hAnsi="Times New Roman"/>
          <w:sz w:val="20"/>
        </w:rPr>
      </w:pPr>
      <w:r>
        <w:rPr>
          <w:rFonts w:ascii="Times New Roman" w:hAnsi="Times New Roman"/>
          <w:color w:val="000000"/>
          <w:sz w:val="18"/>
        </w:rPr>
        <w:t>The Company consolidates entities in which it has a controlling financial interest. The Company determines whether it has a controlling financial interest in an entity by first evaluating whether the entity is a voting interest entity or a VIE. VIEs are entities in which (i) the total equity investment at risk is sufficient to enable the entity to finance its activities independently, (ii) the equity holders have the power to direct the activities of the entity that most significantly impact its economic performance, the obligation to absorb the losses of the entity and the right to receive the residual returns of the entity and (iii) the legal entity is structured with substantive voting rights. A VIE is an entity that lacks one or more of the characteristics of a voting interest entity. The Company has a controlling financial interest in a VIE when the Company has a variable interest or interests that provide it with (i) the power to direct the activities of the VIE that most significantly impact the VIE’s economic performance and (ii) the obligation to absorb losses of the VIE or the right to receive benefits from the VIE that could potentially be significant to the VIE. The Company evaluates its relationships with its VIEs on an ongoing basis to determine whether or not it has a controlling financial interest</w:t>
      </w:r>
      <w:r>
        <w:rPr>
          <w:rFonts w:ascii="Times New Roman" w:hAnsi="Times New Roman"/>
          <w:color w:val="000000"/>
          <w:sz w:val="20"/>
        </w:rPr>
        <w:t xml:space="preserve"> </w:t>
      </w:r>
      <w:r>
        <w:rPr>
          <w:rFonts w:ascii="Times New Roman" w:hAnsi="Times New Roman"/>
          <w:color w:val="000000"/>
          <w:sz w:val="18"/>
        </w:rPr>
        <w:t>(see Note 8).</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Use of Estimates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Company’s financial statements are prepared in accordance with U.S. GAAP. The preparation of the Company’s financial statements requires it to make estimates and assumptions that impact the reported amounts of assets, liabilities, revenues and expenses and the disclosure of contingent assets and liabilities in the Company’s financial statements and accompanying notes. The most significant estimates in the Company’s financial statements relate to accruals for research and development costs, equity-based compensation and fair value measurements.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pStyle w:val="TextBody"/>
        <w:bidi w:val="0"/>
        <w:spacing w:before="210" w:after="283"/>
        <w:jc w:val="left"/>
        <w:rPr>
          <w:rFonts w:ascii="Times New Roman" w:hAnsi="Times New Roman"/>
          <w:b/>
          <w:i/>
          <w:color w:val="000000"/>
          <w:sz w:val="18"/>
        </w:rPr>
      </w:pPr>
      <w:r>
        <w:rPr>
          <w:rFonts w:ascii="Times New Roman" w:hAnsi="Times New Roman"/>
          <w:b/>
          <w:i/>
          <w:color w:val="000000"/>
          <w:sz w:val="18"/>
        </w:rPr>
        <w:t>Segment Reporting</w:t>
      </w:r>
    </w:p>
    <w:p>
      <w:pPr>
        <w:pStyle w:val="TextBody"/>
        <w:bidi w:val="0"/>
        <w:spacing w:before="108" w:after="283"/>
        <w:jc w:val="left"/>
        <w:rPr>
          <w:rFonts w:ascii="Times New Roman" w:hAnsi="Times New Roman"/>
          <w:sz w:val="20"/>
        </w:rPr>
      </w:pPr>
      <w:r>
        <w:rPr>
          <w:rFonts w:ascii="Times New Roman" w:hAnsi="Times New Roman"/>
          <w:color w:val="000000"/>
          <w:sz w:val="18"/>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in one</w:t>
      </w:r>
      <w:r>
        <w:rPr>
          <w:rFonts w:ascii="Times New Roman" w:hAnsi="Times New Roman"/>
          <w:color w:val="000000"/>
          <w:sz w:val="20"/>
        </w:rPr>
        <w:t xml:space="preserve"> </w:t>
      </w:r>
      <w:r>
        <w:rPr>
          <w:rFonts w:ascii="Times New Roman" w:hAnsi="Times New Roman"/>
          <w:color w:val="000000"/>
          <w:sz w:val="18"/>
        </w:rPr>
        <w:t>operating segment.</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Cash and Cash Equivalents</w:t>
      </w:r>
    </w:p>
    <w:p>
      <w:pPr>
        <w:pStyle w:val="TextBody"/>
        <w:bidi w:val="0"/>
        <w:spacing w:before="108" w:after="283"/>
        <w:jc w:val="left"/>
        <w:rPr>
          <w:rFonts w:ascii="Times New Roman" w:hAnsi="Times New Roman"/>
          <w:sz w:val="20"/>
        </w:rPr>
      </w:pPr>
      <w:r>
        <w:rPr>
          <w:rFonts w:ascii="Times New Roman" w:hAnsi="Times New Roman"/>
          <w:color w:val="000000"/>
          <w:sz w:val="18"/>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 The cash and cash equivalents balance as of December 31, 2023 and 2022 includes $50.4</w:t>
      </w:r>
      <w:r>
        <w:rPr>
          <w:rFonts w:ascii="Times New Roman" w:hAnsi="Times New Roman"/>
          <w:color w:val="000000"/>
          <w:sz w:val="20"/>
        </w:rPr>
        <w:t xml:space="preserve"> </w:t>
      </w:r>
      <w:r>
        <w:rPr>
          <w:rFonts w:ascii="Times New Roman" w:hAnsi="Times New Roman"/>
          <w:color w:val="000000"/>
          <w:sz w:val="18"/>
        </w:rPr>
        <w:t>million and $0, respectively, invested in U.S. Government and U.S. Treasury money market funds.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Concentrations of Risk</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Property and Equipment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Property and equipment are stated at cost and depreciated on a straight-line basis over the estimated useful life of the related assets. Leasehold improvements are stated at cost and amortized on a straight-line basis over the lesser of the remaining term of the related lease or the estimated useful life of the leasehold improvements. Repairs and maintenance costs are charged to expense as incurred and expenditures that materially extend the useful lives of assets are capitalized.</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Impairment of Long-Lived Assets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 reviews long-lived assets, such as property and equipment, for impairment whenever events or changes in circumstances indicate the carrying amount of an asset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as the amount by which the carrying amount of the assets exceeds the fair value of the assets. Fair value would be assessed using discounted cash flows or other appropriate measures of fair value. The Company has not recognized any impairment losses for the years ended December 31, 2023 and 2022.</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Leases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not included in the calculation of the ROU asset and the related lease liability and are recognized as incurred.</w:t>
      </w:r>
    </w:p>
    <w:p>
      <w:pPr>
        <w:pStyle w:val="TextBody"/>
        <w:bidi w:val="0"/>
        <w:spacing w:before="216" w:after="283"/>
        <w:jc w:val="left"/>
        <w:rPr>
          <w:rFonts w:ascii="Times New Roman" w:hAnsi="Times New Roman"/>
          <w:sz w:val="20"/>
        </w:rPr>
      </w:pPr>
      <w:r>
        <w:rPr>
          <w:rFonts w:ascii="Times New Roman" w:hAnsi="Times New Roman"/>
          <w:color w:val="000000"/>
          <w:sz w:val="18"/>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Operating leases are included in operating lease right-of-use assets, operating lease liabilities, and operating lease liabilities, non-current on the Company’s balance sheets. The Company does not have any finance leases.</w:t>
        <w:br/>
        <w:br/>
      </w:r>
      <w:r>
        <w:rPr>
          <w:rFonts w:ascii="Times New Roman" w:hAnsi="Times New Roman"/>
          <w:b/>
          <w:i/>
          <w:color w:val="000000"/>
          <w:sz w:val="18"/>
        </w:rPr>
        <w:t>Revenue Recognition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 recognizes revenue in a manner that depicts the transfer of control of a product or a service to a customer and reflects the amount of the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The Company considers the terms of a contract and all relevant facts and circumstances when applying the revenue recognition standard.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customer is a party that has entered into a contract with the Company, where the purpose of the contract is to obtain a product or a service that is an output of the Company’s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the Company will collect substantially all of the consideration to which it is entitled to receive in exchange for the transfer of the product or the service.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performance obligation is defined as a promise to transfer a product or a service to a customer. The Company identifies each promise to transfer a product or a service (or a bundle of products or services, or a 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the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transaction price is the amount of consideration the Company is entitled to receive in exchange for the transfer of control of a product or a service to a customer. To determine the transaction price, the Company considers the existence of any significant financing component, the effects of any variable elements, noncash consideration and consideration payable to the customer. If a significant financing component exists, the transaction price is adjusted for the time value of money. If an element of variability exists, the Company must estimate the consideration it expects to receive and uses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a contract has multiple performance obligations, the Company allocates the transaction price to each distinct performance obligation in an amount that reflects the consideration the Company is entitled to receive in exchange for satisfying each distinct performance obligation. For each distinct performance obligation, revenue is recognized when the Company transfers control of the product or the service applicable to such performance obligation.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those instances where the Company first receives consideration in advance of satisfying its performance obligation, the Company classifies such consideration as deferred revenue until (or as) the Company satisfies such performance obligation. In those instances where the Company first satisfies its performance obligation prior to its receipt of consideration, the consideration is recorded as accounts receivable.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expenses incremental costs of obtaining and fulfilling a contract as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Research and Development Expenses</w:t>
      </w:r>
    </w:p>
    <w:p>
      <w:pPr>
        <w:pStyle w:val="TextBody"/>
        <w:bidi w:val="0"/>
        <w:spacing w:before="108" w:after="283"/>
        <w:jc w:val="left"/>
        <w:rPr>
          <w:rFonts w:ascii="Times New Roman" w:hAnsi="Times New Roman"/>
          <w:sz w:val="20"/>
        </w:rPr>
      </w:pPr>
      <w:r>
        <w:rPr>
          <w:rFonts w:ascii="Times New Roman" w:hAnsi="Times New Roman"/>
          <w:color w:val="000000"/>
          <w:sz w:val="18"/>
        </w:rPr>
        <w:t>The Company’s activities have largely consisted of research and development efforts related to developing our CAB programs. Research and development expenses consist of expenses incurred in performing research and development activities including salaries and benefits, facilities and other overhead expenses, clinical trials, contract services and other outside expenses. Research and development expenses are charged to expense as incurred. Payments for these activities are based on the terms of the individual agreements, which may differ from the pattern of costs incurred, and are reflected in the accompanying balance sheets as prepaid or accrued expenses. When evaluating the adequacy of the accrued expenses, the Company analyzes progress of the services, including the phase or completion of events, invoices received and contracted costs. Significant judgments and estimates may be made in determining the accrued balances at the end of any reporting period. Actual results could differ from the Company’s estimates.</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As of December 31, 2023,</w:t>
      </w:r>
      <w:r>
        <w:rPr>
          <w:rFonts w:ascii="Times New Roman" w:hAnsi="Times New Roman"/>
          <w:color w:val="000000"/>
          <w:sz w:val="20"/>
        </w:rPr>
        <w:t xml:space="preserve"> </w:t>
      </w:r>
      <w:r>
        <w:rPr>
          <w:rFonts w:ascii="Times New Roman" w:hAnsi="Times New Roman"/>
          <w:color w:val="000000"/>
          <w:sz w:val="18"/>
        </w:rPr>
        <w:t>the Company has accrued $12.5</w:t>
      </w:r>
      <w:r>
        <w:rPr>
          <w:rFonts w:ascii="Times New Roman" w:hAnsi="Times New Roman"/>
          <w:color w:val="000000"/>
          <w:sz w:val="20"/>
        </w:rPr>
        <w:t xml:space="preserve"> </w:t>
      </w:r>
      <w:r>
        <w:rPr>
          <w:rFonts w:ascii="Times New Roman" w:hAnsi="Times New Roman"/>
          <w:color w:val="000000"/>
          <w:sz w:val="18"/>
        </w:rPr>
        <w:t>million related to clinical trial costs.</w:t>
      </w:r>
      <w:r>
        <w:rPr>
          <w:rFonts w:ascii="Times New Roman" w:hAnsi="Times New Roman"/>
          <w:color w:val="000000"/>
          <w:sz w:val="20"/>
        </w:rPr>
        <w:t xml:space="preserve"> </w:t>
      </w:r>
      <w:r>
        <w:rPr>
          <w:rFonts w:ascii="Times New Roman" w:hAnsi="Times New Roman"/>
          <w:color w:val="000000"/>
          <w:sz w:val="18"/>
        </w:rPr>
        <w:t>The Company has entered into contracts related to its clinical trials with clinical research organizations. The Company reviews and accrues clinical trial costs based on work performed, which relies on estimates and assumptions of total trial management costs, sites activated, patients enrolled, and number of patient visits. The Company follows this method since reasonably dependable estimates of the costs applicable to clinical trials can be made. Accrued clinical trial costs are subject to revisions as the trials progress. Revisions are charged to expense in the period in which the facts that give rise to the revision become known. A modification in the protocol of a clinical trial or cancellation of a trial could result in a material change to the Company's results of operations.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Patent Costs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Costs related to filing and pursuing patent applications are recorded as general and administrative expenses and expensed as incurred since recoverability of such expenditures is uncertain.</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Stock-Based Compensation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Income Taxes</w:t>
      </w:r>
    </w:p>
    <w:p>
      <w:pPr>
        <w:pStyle w:val="TextBody"/>
        <w:bidi w:val="0"/>
        <w:spacing w:before="108" w:after="283"/>
        <w:jc w:val="left"/>
        <w:rPr>
          <w:rFonts w:ascii="Times New Roman" w:hAnsi="Times New Roman"/>
          <w:sz w:val="20"/>
        </w:rPr>
      </w:pPr>
      <w:r>
        <w:rPr>
          <w:rFonts w:ascii="Times New Roman" w:hAnsi="Times New Roman"/>
          <w:color w:val="000000"/>
          <w:sz w:val="18"/>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sz w:val="20"/>
        </w:rPr>
      </w:pPr>
      <w:r>
        <w:rPr>
          <w:rFonts w:ascii="Times New Roman" w:hAnsi="Times New Roman"/>
          <w:color w:val="000000"/>
          <w:sz w:val="18"/>
        </w:rPr>
        <w:t>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as income in the period that includes the enactment date.</w:t>
        <w:br/>
      </w:r>
      <w:r>
        <w:rPr>
          <w:rFonts w:ascii="Times New Roman" w:hAnsi="Times New Roman"/>
          <w:color w:val="000000"/>
          <w:sz w:val="20"/>
        </w:rPr>
        <w:t> </w:t>
      </w:r>
    </w:p>
    <w:p>
      <w:pPr>
        <w:pStyle w:val="TextBody"/>
        <w:bidi w:val="0"/>
        <w:spacing w:before="216" w:after="283"/>
        <w:jc w:val="left"/>
        <w:rPr>
          <w:rFonts w:ascii="Times New Roman" w:hAnsi="Times New Roman"/>
          <w:sz w:val="20"/>
        </w:rPr>
      </w:pPr>
      <w:r>
        <w:rPr>
          <w:rFonts w:ascii="Times New Roman" w:hAnsi="Times New Roman"/>
          <w:color w:val="000000"/>
          <w:sz w:val="18"/>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exclusive of reversing temporary difference, tax-planning strategies, and the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br/>
      </w:r>
      <w:r>
        <w:rPr>
          <w:rFonts w:ascii="Times New Roman" w:hAnsi="Times New Roman"/>
          <w:color w:val="000000"/>
          <w:sz w:val="20"/>
        </w:rPr>
        <w:t>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Comprehensive Loss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Comprehensive loss is defined as a change in equity during a period from transactions and other events and circumstances from non-owner sources. There have been no items qualifying as other comprehensive loss and, therefore, for all periods presented, the Company’s comprehensive loss was the same as its reported net loss.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Net Loss Per Share</w:t>
      </w:r>
    </w:p>
    <w:p>
      <w:pPr>
        <w:pStyle w:val="TextBody"/>
        <w:bidi w:val="0"/>
        <w:spacing w:before="108" w:after="283"/>
        <w:jc w:val="left"/>
        <w:rPr>
          <w:rFonts w:ascii="Times New Roman" w:hAnsi="Times New Roman"/>
          <w:sz w:val="20"/>
        </w:rPr>
      </w:pPr>
      <w:r>
        <w:rPr>
          <w:rFonts w:ascii="Times New Roman" w:hAnsi="Times New Roman"/>
          <w:color w:val="000000"/>
          <w:sz w:val="18"/>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RSUs, common stock options outstanding under the Company’s stock option plan, and contingently issuable shares under the BioAtla, Inc. Employee Stock Purchase Plan (the “ESPP”).</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Potentially dilutive securities not included in the calculation of diluted net loss per common share because to do so would be anti-dilutive are as follows (in common stock equivalents):</w:t>
      </w:r>
    </w:p>
    <w:tbl>
      <w:tblPr>
        <w:tblW w:w="4198" w:type="dxa"/>
        <w:jc w:val="left"/>
        <w:tblInd w:w="0" w:type="dxa"/>
        <w:tblLayout w:type="fixed"/>
        <w:tblCellMar>
          <w:top w:w="28" w:type="dxa"/>
          <w:left w:w="28" w:type="dxa"/>
          <w:bottom w:w="28" w:type="dxa"/>
          <w:right w:w="28" w:type="dxa"/>
        </w:tblCellMar>
      </w:tblPr>
      <w:tblGrid>
        <w:gridCol w:w="1771"/>
        <w:gridCol w:w="146"/>
        <w:gridCol w:w="826"/>
        <w:gridCol w:w="146"/>
        <w:gridCol w:w="146"/>
        <w:gridCol w:w="146"/>
        <w:gridCol w:w="826"/>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options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6,273,507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2,736,918</w:t>
            </w:r>
          </w:p>
        </w:tc>
        <w:tc>
          <w:tcPr>
            <w:tcW w:w="191" w:type="dxa"/>
            <w:tcBorders/>
            <w:shd w:fill="CFF0FC" w:val="cle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510,039</w:t>
            </w:r>
          </w:p>
        </w:tc>
        <w:tc>
          <w:tcPr>
            <w:tcW w:w="191" w:type="dxa"/>
            <w:tcBorders/>
            <w:shd w:fill="FFFFFF" w:val="clear"/>
            <w:vAlign w:val="center"/>
          </w:tcPr>
          <w:p>
            <w:pPr>
              <w:pStyle w:val="TableContents"/>
              <w:bidi w:val="0"/>
              <w:spacing w:before="0" w:after="283"/>
              <w:jc w:val="left"/>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ESPP Shares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6,429,864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3,260,327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0" w:after="283"/>
        <w:jc w:val="left"/>
        <w:rPr>
          <w:rFonts w:ascii="Times New Roman" w:hAnsi="Times New Roman"/>
          <w:b/>
          <w:i/>
          <w:color w:val="000000"/>
          <w:sz w:val="18"/>
        </w:rPr>
      </w:pPr>
      <w:r>
        <w:rPr>
          <w:rFonts w:ascii="Times New Roman" w:hAnsi="Times New Roman"/>
          <w:b/>
          <w:i/>
          <w:color w:val="000000"/>
          <w:sz w:val="18"/>
        </w:rPr>
        <w:t>Recent Accounting Pronouncements</w:t>
      </w:r>
    </w:p>
    <w:p>
      <w:pPr>
        <w:pStyle w:val="TextBody"/>
        <w:bidi w:val="0"/>
        <w:spacing w:before="108" w:after="283"/>
        <w:jc w:val="left"/>
        <w:rPr>
          <w:rFonts w:ascii="Times New Roman" w:hAnsi="Times New Roman"/>
          <w:sz w:val="20"/>
        </w:rPr>
      </w:pPr>
      <w:r>
        <w:rPr>
          <w:rFonts w:ascii="Times New Roman" w:hAnsi="Times New Roman"/>
          <w:color w:val="000000"/>
          <w:sz w:val="18"/>
        </w:rPr>
        <w:t>In December 2023, the FASB issued ASU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this guidance on its financial statements.</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2. Balance sheet details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Prepaid expenses and other current assets consist of the following (in thousands):</w:t>
      </w:r>
    </w:p>
    <w:p>
      <w:pPr>
        <w:pStyle w:val="TextBody"/>
        <w:bidi w:val="0"/>
        <w:jc w:val="left"/>
        <w:rPr/>
      </w:pPr>
      <w:r>
        <w:rPr/>
        <w:t> </w:t>
      </w:r>
    </w:p>
    <w:tbl>
      <w:tblPr>
        <w:tblW w:w="5134" w:type="dxa"/>
        <w:jc w:val="left"/>
        <w:tblInd w:w="0" w:type="dxa"/>
        <w:tblLayout w:type="fixed"/>
        <w:tblCellMar>
          <w:top w:w="28" w:type="dxa"/>
          <w:left w:w="28" w:type="dxa"/>
          <w:bottom w:w="28" w:type="dxa"/>
          <w:right w:w="28" w:type="dxa"/>
        </w:tblCellMar>
      </w:tblPr>
      <w:tblGrid>
        <w:gridCol w:w="3091"/>
        <w:gridCol w:w="146"/>
        <w:gridCol w:w="196"/>
        <w:gridCol w:w="511"/>
        <w:gridCol w:w="146"/>
        <w:gridCol w:w="146"/>
        <w:gridCol w:w="196"/>
        <w:gridCol w:w="51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research and development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4,385</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prepaid expenses and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left"/>
        <w:rPr>
          <w:rFonts w:ascii="Times New Roman" w:hAnsi="Times New Roman"/>
          <w:color w:val="000000"/>
          <w:sz w:val="18"/>
        </w:rPr>
      </w:pPr>
      <w:r>
        <w:rPr>
          <w:rFonts w:ascii="Times New Roman" w:hAnsi="Times New Roman"/>
          <w:color w:val="000000"/>
          <w:sz w:val="18"/>
        </w:rPr>
        <w:t>Property and equipment consist of the following (in thousands):</w:t>
      </w:r>
    </w:p>
    <w:p>
      <w:pPr>
        <w:pStyle w:val="TextBody"/>
        <w:bidi w:val="0"/>
        <w:jc w:val="left"/>
        <w:rPr/>
      </w:pPr>
      <w:r>
        <w:rPr/>
        <w:t> </w:t>
      </w:r>
    </w:p>
    <w:tbl>
      <w:tblPr>
        <w:tblW w:w="7271" w:type="dxa"/>
        <w:jc w:val="left"/>
        <w:tblInd w:w="0" w:type="dxa"/>
        <w:tblLayout w:type="fixed"/>
        <w:tblCellMar>
          <w:top w:w="28" w:type="dxa"/>
          <w:left w:w="28" w:type="dxa"/>
          <w:bottom w:w="28" w:type="dxa"/>
          <w:right w:w="28" w:type="dxa"/>
        </w:tblCellMar>
      </w:tblPr>
      <w:tblGrid>
        <w:gridCol w:w="3481"/>
        <w:gridCol w:w="146"/>
        <w:gridCol w:w="1441"/>
        <w:gridCol w:w="146"/>
        <w:gridCol w:w="196"/>
        <w:gridCol w:w="571"/>
        <w:gridCol w:w="166"/>
        <w:gridCol w:w="146"/>
        <w:gridCol w:w="196"/>
        <w:gridCol w:w="571"/>
        <w:gridCol w:w="2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Furniture, fixtures and office equipment</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3</w:t>
            </w:r>
            <w:r>
              <w:rPr>
                <w:rFonts w:ascii="Times New Roman" w:hAnsi="Times New Roman"/>
                <w:color w:val="000000"/>
                <w:sz w:val="20"/>
              </w:rPr>
              <w:t> </w:t>
            </w:r>
            <w:r>
              <w:rPr>
                <w:rFonts w:ascii="Times New Roman" w:hAnsi="Times New Roman"/>
                <w:color w:val="000000"/>
                <w:sz w:val="18"/>
              </w:rPr>
              <w:t>- 7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2,140</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Laboratory equipment</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2,265</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2</w:t>
            </w:r>
            <w:r>
              <w:rPr>
                <w:rFonts w:ascii="Times New Roman" w:hAnsi="Times New Roman"/>
                <w:color w:val="000000"/>
                <w:sz w:val="20"/>
              </w:rPr>
              <w:t> </w:t>
            </w:r>
            <w:r>
              <w:rPr>
                <w:rFonts w:ascii="Times New Roman" w:hAnsi="Times New Roman"/>
                <w:color w:val="000000"/>
                <w:sz w:val="18"/>
              </w:rPr>
              <w:t>- 3</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8,092</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Accounts payable and accrued expenses consist of the following (in thousands):</w:t>
      </w:r>
    </w:p>
    <w:p>
      <w:pPr>
        <w:pStyle w:val="TextBody"/>
        <w:bidi w:val="0"/>
        <w:jc w:val="left"/>
        <w:rPr/>
      </w:pPr>
      <w:r>
        <w:rPr/>
        <w:t> </w:t>
      </w:r>
    </w:p>
    <w:tbl>
      <w:tblPr>
        <w:tblW w:w="4819" w:type="dxa"/>
        <w:jc w:val="left"/>
        <w:tblInd w:w="0" w:type="dxa"/>
        <w:tblLayout w:type="fixed"/>
        <w:tblCellMar>
          <w:top w:w="28" w:type="dxa"/>
          <w:left w:w="28" w:type="dxa"/>
          <w:bottom w:w="28" w:type="dxa"/>
          <w:right w:w="28" w:type="dxa"/>
        </w:tblCellMar>
      </w:tblPr>
      <w:tblGrid>
        <w:gridCol w:w="2596"/>
        <w:gridCol w:w="146"/>
        <w:gridCol w:w="196"/>
        <w:gridCol w:w="601"/>
        <w:gridCol w:w="146"/>
        <w:gridCol w:w="146"/>
        <w:gridCol w:w="196"/>
        <w:gridCol w:w="60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4,231</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3,451</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research and development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12,649</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3. Fair value measurements</w:t>
      </w:r>
    </w:p>
    <w:p>
      <w:pPr>
        <w:pStyle w:val="TextBody"/>
        <w:bidi w:val="0"/>
        <w:spacing w:before="108" w:after="283"/>
        <w:jc w:val="left"/>
        <w:rPr>
          <w:rFonts w:ascii="Times New Roman" w:hAnsi="Times New Roman"/>
          <w:sz w:val="20"/>
        </w:rPr>
      </w:pPr>
      <w:r>
        <w:rPr>
          <w:rFonts w:ascii="Times New Roman" w:hAnsi="Times New Roman"/>
          <w:color w:val="000000"/>
          <w:sz w:val="18"/>
        </w:rPr>
        <w:t>The carrying amounts of the Company’s current financial assets and current financial liabilities are considered to be representative of their respective fair values because of the short-term nature of those instruments. As of December 31, 2023 and December 31, 2022, the Company had no</w:t>
      </w:r>
      <w:r>
        <w:rPr>
          <w:rFonts w:ascii="Times New Roman" w:hAnsi="Times New Roman"/>
          <w:color w:val="000000"/>
          <w:sz w:val="20"/>
        </w:rPr>
        <w:t xml:space="preserve"> </w:t>
      </w:r>
      <w:r>
        <w:rPr>
          <w:rFonts w:ascii="Times New Roman" w:hAnsi="Times New Roman"/>
          <w:color w:val="000000"/>
          <w:sz w:val="18"/>
        </w:rPr>
        <w:t xml:space="preserve">financial assets or liabilities measured at fair value on a recurring basis. </w:t>
        <w:br/>
      </w:r>
      <w:r>
        <w:rPr>
          <w:rFonts w:ascii="Times New Roman" w:hAnsi="Times New Roman"/>
          <w:color w:val="000000"/>
          <w:sz w:val="20"/>
        </w:rPr>
        <w:t> </w:t>
      </w:r>
    </w:p>
    <w:p>
      <w:pPr>
        <w:pStyle w:val="TextBody"/>
        <w:bidi w:val="0"/>
        <w:spacing w:before="108" w:after="283"/>
        <w:jc w:val="left"/>
        <w:rPr>
          <w:rFonts w:ascii="Times New Roman" w:hAnsi="Times New Roman"/>
          <w:sz w:val="20"/>
        </w:rPr>
      </w:pPr>
      <w:r>
        <w:rPr>
          <w:rFonts w:ascii="Times New Roman" w:hAnsi="Times New Roman"/>
          <w:color w:val="000000"/>
          <w:sz w:val="18"/>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br/>
      </w:r>
      <w:r>
        <w:rPr>
          <w:rFonts w:ascii="Times New Roman" w:hAnsi="Times New Roman"/>
          <w:color w:val="000000"/>
          <w:sz w:val="20"/>
        </w:rPr>
        <w:t> </w:t>
      </w:r>
    </w:p>
    <w:p>
      <w:pPr>
        <w:pStyle w:val="TextBody"/>
        <w:bidi w:val="0"/>
        <w:spacing w:before="108" w:after="283"/>
        <w:jc w:val="left"/>
        <w:rPr>
          <w:rFonts w:ascii="Times New Roman" w:hAnsi="Times New Roman"/>
          <w:sz w:val="20"/>
        </w:rPr>
      </w:pPr>
      <w:r>
        <w:rPr>
          <w:rFonts w:ascii="Times New Roman" w:hAnsi="Times New Roman"/>
          <w:color w:val="000000"/>
          <w:sz w:val="18"/>
        </w:rPr>
        <w:t>Level 1: Observable inputs such as quoted prices in active markets.</w:t>
        <w:br/>
      </w:r>
      <w:r>
        <w:rPr>
          <w:rFonts w:ascii="Times New Roman" w:hAnsi="Times New Roman"/>
          <w:color w:val="000000"/>
          <w:sz w:val="20"/>
        </w:rPr>
        <w:t> </w:t>
      </w:r>
    </w:p>
    <w:p>
      <w:pPr>
        <w:pStyle w:val="TextBody"/>
        <w:bidi w:val="0"/>
        <w:spacing w:before="108" w:after="283"/>
        <w:jc w:val="left"/>
        <w:rPr>
          <w:rFonts w:ascii="Times New Roman" w:hAnsi="Times New Roman"/>
          <w:sz w:val="20"/>
        </w:rPr>
      </w:pPr>
      <w:r>
        <w:rPr>
          <w:rFonts w:ascii="Times New Roman" w:hAnsi="Times New Roman"/>
          <w:color w:val="000000"/>
          <w:sz w:val="18"/>
        </w:rPr>
        <w:t>Level 2: Inputs, other than the quoted prices in active markets that are observable either directly or indirectly.</w:t>
        <w:br/>
      </w:r>
      <w:r>
        <w:rPr>
          <w:rFonts w:ascii="Times New Roman" w:hAnsi="Times New Roman"/>
          <w:color w:val="000000"/>
          <w:sz w:val="20"/>
        </w:rPr>
        <w:t> </w:t>
      </w:r>
    </w:p>
    <w:p>
      <w:pPr>
        <w:pStyle w:val="TextBody"/>
        <w:bidi w:val="0"/>
        <w:spacing w:before="108" w:after="283"/>
        <w:jc w:val="left"/>
        <w:rPr>
          <w:rFonts w:ascii="Times New Roman" w:hAnsi="Times New Roman"/>
          <w:sz w:val="20"/>
        </w:rPr>
      </w:pPr>
      <w:r>
        <w:rPr>
          <w:rFonts w:ascii="Times New Roman" w:hAnsi="Times New Roman"/>
          <w:color w:val="000000"/>
          <w:sz w:val="18"/>
        </w:rPr>
        <w:t>Level 3: Unobservable inputs in which there is little or no market data, which require the reporting entity to develop its own assumptions.</w:t>
        <w:br/>
      </w:r>
      <w:r>
        <w:rPr>
          <w:rFonts w:ascii="Times New Roman" w:hAnsi="Times New Roman"/>
          <w:color w:val="000000"/>
          <w:sz w:val="20"/>
        </w:rPr>
        <w:t> </w:t>
      </w:r>
    </w:p>
    <w:p>
      <w:pPr>
        <w:pStyle w:val="TextBody"/>
        <w:bidi w:val="0"/>
        <w:spacing w:before="108" w:after="283"/>
        <w:jc w:val="left"/>
        <w:rPr>
          <w:rFonts w:ascii="Times New Roman" w:hAnsi="Times New Roman"/>
          <w:sz w:val="20"/>
        </w:rPr>
      </w:pPr>
      <w:r>
        <w:rPr>
          <w:rFonts w:ascii="Times New Roman" w:hAnsi="Times New Roman"/>
          <w:color w:val="000000"/>
          <w:sz w:val="18"/>
        </w:rPr>
        <w:t>As of December 31, 2023 and 2022, the Company had $50.4</w:t>
      </w:r>
      <w:r>
        <w:rPr>
          <w:rFonts w:ascii="Times New Roman" w:hAnsi="Times New Roman"/>
          <w:color w:val="000000"/>
          <w:sz w:val="20"/>
        </w:rPr>
        <w:t xml:space="preserve"> </w:t>
      </w:r>
      <w:r>
        <w:rPr>
          <w:rFonts w:ascii="Times New Roman" w:hAnsi="Times New Roman"/>
          <w:color w:val="000000"/>
          <w:sz w:val="18"/>
        </w:rPr>
        <w:t>million and $0, respectively, invested in U.S. Government and U.S. Treasury money market funds which are recorded as cash equivalents and represent a Level 1 measurement within the fair value hierarchy.</w:t>
      </w:r>
      <w:r>
        <w:rPr>
          <w:rFonts w:ascii="Times New Roman" w:hAnsi="Times New Roman"/>
          <w:color w:val="000000"/>
          <w:sz w:val="20"/>
        </w:rPr>
        <w:t xml:space="preserve"> </w:t>
      </w:r>
    </w:p>
    <w:p>
      <w:pPr>
        <w:pStyle w:val="TextBody"/>
        <w:bidi w:val="0"/>
        <w:spacing w:before="108" w:after="283"/>
        <w:jc w:val="left"/>
        <w:rPr>
          <w:rFonts w:ascii="Times New Roman" w:hAnsi="Times New Roman"/>
          <w:sz w:val="20"/>
        </w:rPr>
      </w:pPr>
      <w:r>
        <w:rPr>
          <w:rFonts w:ascii="Times New Roman" w:hAnsi="Times New Roman"/>
          <w:color w:val="000000"/>
          <w:sz w:val="18"/>
        </w:rPr>
        <w:t>None of the Company’s non-financial assets and liabilities are recorded at fair value on a non-recurring basis. No transfers between levels have occurred during the periods presented.</w:t>
        <w:br/>
      </w:r>
      <w:r>
        <w:rPr>
          <w:rFonts w:ascii="Times New Roman" w:hAnsi="Times New Roman"/>
          <w:color w:val="000000"/>
          <w:sz w:val="20"/>
        </w:rPr>
        <w:t> </w:t>
      </w:r>
    </w:p>
    <w:p>
      <w:pPr>
        <w:pStyle w:val="TextBody"/>
        <w:bidi w:val="0"/>
        <w:spacing w:before="108" w:after="283"/>
        <w:jc w:val="left"/>
        <w:rPr/>
      </w:pPr>
      <w:r>
        <w:rPr/>
        <w:t>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4. Leases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The Company has a single operating lease for its corporate headquarters and laboratory space in San Diego, California. The lease expires in July 2025 and the Company has an option to extend the term of the lease for an additional five years. Additionally, the lease includes certain rent abatement, rent escalations, tenant improvement allowances and additional charges for common area maintenance and other costs.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16"/>
        <w:jc w:val="left"/>
        <w:rPr>
          <w:rFonts w:ascii="Times New Roman" w:hAnsi="Times New Roman"/>
          <w:color w:val="000000"/>
          <w:sz w:val="18"/>
        </w:rPr>
      </w:pPr>
      <w:r>
        <w:rPr>
          <w:rFonts w:ascii="Times New Roman" w:hAnsi="Times New Roman"/>
          <w:color w:val="000000"/>
          <w:sz w:val="18"/>
        </w:rPr>
        <w:t>The components of lease expense included in the Company’s statements of operations and loss include (in thousands):</w:t>
      </w:r>
    </w:p>
    <w:tbl>
      <w:tblPr>
        <w:tblW w:w="4310" w:type="dxa"/>
        <w:jc w:val="left"/>
        <w:tblInd w:w="0" w:type="dxa"/>
        <w:tblLayout w:type="fixed"/>
        <w:tblCellMar>
          <w:top w:w="28" w:type="dxa"/>
          <w:left w:w="28" w:type="dxa"/>
          <w:bottom w:w="28" w:type="dxa"/>
          <w:right w:w="28" w:type="dxa"/>
        </w:tblCellMar>
      </w:tblPr>
      <w:tblGrid>
        <w:gridCol w:w="1831"/>
        <w:gridCol w:w="146"/>
        <w:gridCol w:w="246"/>
        <w:gridCol w:w="642"/>
        <w:gridCol w:w="183"/>
        <w:gridCol w:w="183"/>
        <w:gridCol w:w="246"/>
        <w:gridCol w:w="642"/>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expense</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1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Variable lease expense</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expense, net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1,587</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color w:val="000000"/>
          <w:sz w:val="18"/>
        </w:rPr>
      </w:pPr>
      <w:r>
        <w:rPr>
          <w:rFonts w:ascii="Times New Roman" w:hAnsi="Times New Roman"/>
          <w:color w:val="000000"/>
          <w:sz w:val="18"/>
        </w:rPr>
        <w:t>Variable lease costs are primarily related to payments made to lessors for common area maintenance, property taxes, insurance, and other operating expenses. The Company did not have any short-term leases or finance leases for the year ended December 31, 2023.</w:t>
      </w:r>
    </w:p>
    <w:p>
      <w:pPr>
        <w:pStyle w:val="TextBody"/>
        <w:bidi w:val="0"/>
        <w:spacing w:before="216" w:after="216"/>
        <w:jc w:val="left"/>
        <w:rPr>
          <w:rFonts w:ascii="Times New Roman" w:hAnsi="Times New Roman"/>
          <w:color w:val="000000"/>
          <w:sz w:val="18"/>
        </w:rPr>
      </w:pPr>
      <w:r>
        <w:rPr>
          <w:rFonts w:ascii="Times New Roman" w:hAnsi="Times New Roman"/>
          <w:color w:val="000000"/>
          <w:sz w:val="18"/>
        </w:rPr>
        <w:t>The weighted average remaining lease term and weighted average discount rate for operating leases were as follows:</w:t>
      </w:r>
    </w:p>
    <w:tbl>
      <w:tblPr>
        <w:tblW w:w="5584" w:type="dxa"/>
        <w:jc w:val="left"/>
        <w:tblInd w:w="0" w:type="dxa"/>
        <w:tblLayout w:type="fixed"/>
        <w:tblCellMar>
          <w:top w:w="28" w:type="dxa"/>
          <w:left w:w="28" w:type="dxa"/>
          <w:bottom w:w="28" w:type="dxa"/>
          <w:right w:w="28" w:type="dxa"/>
        </w:tblCellMar>
      </w:tblPr>
      <w:tblGrid>
        <w:gridCol w:w="3601"/>
        <w:gridCol w:w="146"/>
        <w:gridCol w:w="146"/>
        <w:gridCol w:w="421"/>
        <w:gridCol w:w="256"/>
        <w:gridCol w:w="146"/>
        <w:gridCol w:w="146"/>
        <w:gridCol w:w="421"/>
        <w:gridCol w:w="30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01" w:type="dxa"/>
            <w:tcBorders/>
            <w:shd w:fill="CFF0FC" w:val="clear"/>
            <w:vAlign w:val="center"/>
          </w:tcPr>
          <w:p>
            <w:pPr>
              <w:pStyle w:val="TableContents"/>
              <w:bidi w:val="0"/>
              <w:spacing w:before="0" w:after="283"/>
              <w:jc w:val="left"/>
              <w:rPr/>
            </w:pPr>
            <w:r>
              <w:rPr/>
              <w:t> </w:t>
            </w:r>
          </w:p>
        </w:tc>
      </w:tr>
      <w:tr>
        <w:trPr/>
        <w:tc>
          <w:tcPr>
            <w:tcW w:w="36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discount rate percentage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16" w:after="216"/>
        <w:jc w:val="left"/>
        <w:rPr>
          <w:rFonts w:ascii="Times New Roman" w:hAnsi="Times New Roman"/>
          <w:color w:val="000000"/>
          <w:sz w:val="18"/>
        </w:rPr>
      </w:pPr>
      <w:r>
        <w:rPr>
          <w:rFonts w:ascii="Times New Roman" w:hAnsi="Times New Roman"/>
          <w:color w:val="000000"/>
          <w:sz w:val="18"/>
        </w:rPr>
        <w:t>Supplemental cash flow information related to leases under which the Company is the lessee was as follows (amounts in thousands):</w:t>
      </w:r>
    </w:p>
    <w:tbl>
      <w:tblPr>
        <w:tblW w:w="7625" w:type="dxa"/>
        <w:jc w:val="left"/>
        <w:tblInd w:w="0" w:type="dxa"/>
        <w:tblLayout w:type="fixed"/>
        <w:tblCellMar>
          <w:top w:w="28" w:type="dxa"/>
          <w:left w:w="28" w:type="dxa"/>
          <w:bottom w:w="28" w:type="dxa"/>
          <w:right w:w="28" w:type="dxa"/>
        </w:tblCellMar>
      </w:tblPr>
      <w:tblGrid>
        <w:gridCol w:w="5146"/>
        <w:gridCol w:w="146"/>
        <w:gridCol w:w="246"/>
        <w:gridCol w:w="642"/>
        <w:gridCol w:w="183"/>
        <w:gridCol w:w="183"/>
        <w:gridCol w:w="246"/>
        <w:gridCol w:w="642"/>
        <w:gridCol w:w="1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amounts included in the measurement of operating leases</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1,555</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16" w:after="216"/>
        <w:jc w:val="left"/>
        <w:rPr>
          <w:rFonts w:ascii="Times New Roman" w:hAnsi="Times New Roman"/>
          <w:color w:val="000000"/>
          <w:sz w:val="18"/>
        </w:rPr>
      </w:pPr>
      <w:r>
        <w:rPr>
          <w:rFonts w:ascii="Times New Roman" w:hAnsi="Times New Roman"/>
          <w:color w:val="000000"/>
          <w:sz w:val="18"/>
        </w:rPr>
        <w:t>Maturities of operating lease liabilities as of December 31, 2023 were as follows (in thousands):</w:t>
      </w:r>
    </w:p>
    <w:tbl>
      <w:tblPr>
        <w:tblW w:w="3494" w:type="dxa"/>
        <w:jc w:val="left"/>
        <w:tblInd w:w="0" w:type="dxa"/>
        <w:tblLayout w:type="fixed"/>
        <w:tblCellMar>
          <w:top w:w="28" w:type="dxa"/>
          <w:left w:w="28" w:type="dxa"/>
          <w:bottom w:w="28" w:type="dxa"/>
          <w:right w:w="28" w:type="dxa"/>
        </w:tblCellMar>
      </w:tblPr>
      <w:tblGrid>
        <w:gridCol w:w="2251"/>
        <w:gridCol w:w="146"/>
        <w:gridCol w:w="245"/>
        <w:gridCol w:w="641"/>
        <w:gridCol w:w="21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Years ending December 31:</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Operating</w:t>
              <w:br/>
              <w:t>lease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2024</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w:t>
            </w:r>
          </w:p>
        </w:tc>
        <w:tc>
          <w:tcPr>
            <w:tcW w:w="211" w:type="dxa"/>
            <w:tcBorders/>
            <w:shd w:fill="CFF0FC"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w:t>
            </w:r>
          </w:p>
        </w:tc>
        <w:tc>
          <w:tcPr>
            <w:tcW w:w="211" w:type="dxa"/>
            <w:tcBorders/>
            <w:shd w:fill="FFFFFF" w:val="clear"/>
            <w:vAlign w:val="center"/>
          </w:tcPr>
          <w:p>
            <w:pPr>
              <w:pStyle w:val="TableContents"/>
              <w:bidi w:val="0"/>
              <w:spacing w:before="0" w:after="283"/>
              <w:jc w:val="left"/>
              <w:rPr/>
            </w:pPr>
            <w:r>
              <w:rPr/>
              <w:t> </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future lease payments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imputed interest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lease liabilities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pPr>
      <w:r>
        <w:rPr/>
        <w:t>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5. Commitments and contingencies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pStyle w:val="TextBody"/>
        <w:bidi w:val="0"/>
        <w:spacing w:before="324" w:after="283"/>
        <w:jc w:val="left"/>
        <w:rPr>
          <w:rFonts w:ascii="Times New Roman" w:hAnsi="Times New Roman"/>
          <w:sz w:val="20"/>
        </w:rPr>
      </w:pPr>
      <w:r>
        <w:rPr>
          <w:rFonts w:ascii="Times New Roman" w:hAnsi="Times New Roman"/>
          <w:b/>
          <w:color w:val="000000"/>
          <w:sz w:val="18"/>
        </w:rPr>
        <w:t>6. Stockholders’ equity</w:t>
      </w:r>
      <w:r>
        <w:rPr>
          <w:rFonts w:ascii="Times New Roman" w:hAnsi="Times New Roman"/>
          <w:color w:val="000000"/>
          <w:sz w:val="18"/>
        </w:rPr>
        <w:br/>
      </w:r>
      <w:r>
        <w:rPr>
          <w:rFonts w:ascii="Times New Roman" w:hAnsi="Times New Roman"/>
          <w:color w:val="000000"/>
          <w:sz w:val="20"/>
        </w:rPr>
        <w:t> </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Description of securities of Delaware corporation</w:t>
      </w:r>
    </w:p>
    <w:p>
      <w:pPr>
        <w:pStyle w:val="TextBody"/>
        <w:bidi w:val="0"/>
        <w:spacing w:before="108" w:after="283"/>
        <w:jc w:val="left"/>
        <w:rPr>
          <w:rFonts w:ascii="Times New Roman" w:hAnsi="Times New Roman"/>
          <w:sz w:val="20"/>
        </w:rPr>
      </w:pPr>
      <w:r>
        <w:rPr>
          <w:rFonts w:ascii="Times New Roman" w:hAnsi="Times New Roman"/>
          <w:color w:val="000000"/>
          <w:sz w:val="18"/>
        </w:rPr>
        <w:t>The Company is authorized to issue 200,000,000</w:t>
      </w:r>
      <w:r>
        <w:rPr>
          <w:rFonts w:ascii="Times New Roman" w:hAnsi="Times New Roman"/>
          <w:color w:val="000000"/>
          <w:sz w:val="20"/>
        </w:rPr>
        <w:t xml:space="preserve"> </w:t>
      </w:r>
      <w:r>
        <w:rPr>
          <w:rFonts w:ascii="Times New Roman" w:hAnsi="Times New Roman"/>
          <w:color w:val="000000"/>
          <w:sz w:val="18"/>
        </w:rPr>
        <w:t>shares of preferred stock, par value $0.0001</w:t>
      </w:r>
      <w:r>
        <w:rPr>
          <w:rFonts w:ascii="Times New Roman" w:hAnsi="Times New Roman"/>
          <w:color w:val="000000"/>
          <w:sz w:val="20"/>
        </w:rPr>
        <w:t xml:space="preserve"> </w:t>
      </w:r>
      <w:r>
        <w:rPr>
          <w:rFonts w:ascii="Times New Roman" w:hAnsi="Times New Roman"/>
          <w:color w:val="000000"/>
          <w:sz w:val="18"/>
        </w:rPr>
        <w:t>per share, 350,000,000</w:t>
      </w:r>
      <w:r>
        <w:rPr>
          <w:rFonts w:ascii="Times New Roman" w:hAnsi="Times New Roman"/>
          <w:color w:val="000000"/>
          <w:sz w:val="20"/>
        </w:rPr>
        <w:t xml:space="preserve"> </w:t>
      </w:r>
      <w:r>
        <w:rPr>
          <w:rFonts w:ascii="Times New Roman" w:hAnsi="Times New Roman"/>
          <w:color w:val="000000"/>
          <w:sz w:val="18"/>
        </w:rPr>
        <w:t>shares of common stock, par value $0.0001</w:t>
      </w:r>
      <w:r>
        <w:rPr>
          <w:rFonts w:ascii="Times New Roman" w:hAnsi="Times New Roman"/>
          <w:color w:val="000000"/>
          <w:sz w:val="20"/>
        </w:rPr>
        <w:t xml:space="preserve"> </w:t>
      </w:r>
      <w:r>
        <w:rPr>
          <w:rFonts w:ascii="Times New Roman" w:hAnsi="Times New Roman"/>
          <w:color w:val="000000"/>
          <w:sz w:val="18"/>
        </w:rPr>
        <w:t>per share, and 15,368,569</w:t>
      </w:r>
      <w:r>
        <w:rPr>
          <w:rFonts w:ascii="Times New Roman" w:hAnsi="Times New Roman"/>
          <w:color w:val="000000"/>
          <w:sz w:val="20"/>
        </w:rPr>
        <w:t xml:space="preserve"> </w:t>
      </w:r>
      <w:r>
        <w:rPr>
          <w:rFonts w:ascii="Times New Roman" w:hAnsi="Times New Roman"/>
          <w:color w:val="000000"/>
          <w:sz w:val="18"/>
        </w:rPr>
        <w:t>shares of Class B common stock, par value $0.0001</w:t>
      </w:r>
      <w:r>
        <w:rPr>
          <w:rFonts w:ascii="Times New Roman" w:hAnsi="Times New Roman"/>
          <w:color w:val="000000"/>
          <w:sz w:val="20"/>
        </w:rPr>
        <w:t xml:space="preserve"> </w:t>
      </w:r>
      <w:r>
        <w:rPr>
          <w:rFonts w:ascii="Times New Roman" w:hAnsi="Times New Roman"/>
          <w:color w:val="000000"/>
          <w:sz w:val="18"/>
        </w:rPr>
        <w:t>per share.</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Dividends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Subject to preferences that may be applicable to any outstanding shares of preferred stock, holders of the Company’s common stock and Class B common stock are entitled to receive dividends only if declared from time to time by the Company’s board of directors out of assets which are legally available.</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Liquidation preferences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Upon any liquidation, dissolution or winding-up of the Company, holders of the Company’s common stock and Class B common stock are entitled to share ratably in all assets remaining after payment of all liabilities and the liquidation preferences of any of our outstanding shares of preferred stock.</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Conversion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sz w:val="20"/>
        </w:rPr>
      </w:pPr>
      <w:r>
        <w:rPr>
          <w:rFonts w:ascii="Times New Roman" w:hAnsi="Times New Roman"/>
          <w:color w:val="000000"/>
          <w:sz w:val="18"/>
        </w:rPr>
        <w:t>Holders of the Company’s common stock have no conversion rights, while holders of the Company’s Class B common stock shall have the right to convert each share of Class B common stock into one share of common stock at such holder’s election, provided that as a result of such conversion, such holder would not beneficially own in excess of 4.99% of any class of the Company’s securities registered under the Securities Exchange Act of 1934, as amended, unless otherwise as expressly provided for in the Company’s amended and restated certificate of incorporation. This ownership limitation may be increased or decreased to any other percentage designated by such holder of Class B common stock upon 61</w:t>
      </w:r>
      <w:r>
        <w:rPr>
          <w:rFonts w:ascii="Times New Roman" w:hAnsi="Times New Roman"/>
          <w:color w:val="000000"/>
          <w:sz w:val="20"/>
        </w:rPr>
        <w:t xml:space="preserve"> </w:t>
      </w:r>
      <w:r>
        <w:rPr>
          <w:rFonts w:ascii="Times New Roman" w:hAnsi="Times New Roman"/>
          <w:color w:val="000000"/>
          <w:sz w:val="18"/>
        </w:rPr>
        <w:t>days’ notice to the Company.</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Voting rights</w:t>
      </w:r>
    </w:p>
    <w:p>
      <w:pPr>
        <w:pStyle w:val="TextBody"/>
        <w:bidi w:val="0"/>
        <w:spacing w:before="108" w:after="283"/>
        <w:jc w:val="left"/>
        <w:rPr>
          <w:rFonts w:ascii="Times New Roman" w:hAnsi="Times New Roman"/>
          <w:sz w:val="20"/>
        </w:rPr>
      </w:pPr>
      <w:r>
        <w:rPr>
          <w:rFonts w:ascii="Times New Roman" w:hAnsi="Times New Roman"/>
          <w:color w:val="000000"/>
          <w:sz w:val="18"/>
        </w:rPr>
        <w:t>Except as otherwise expressly provided in the Company’s amended and restated certificate of incorporation or as required by applicable law, on any matter that is submitted to a vote by the Company’s stockholders, holders of the Company’s common stock are entitled to one</w:t>
      </w:r>
      <w:r>
        <w:rPr>
          <w:rFonts w:ascii="Times New Roman" w:hAnsi="Times New Roman"/>
          <w:color w:val="000000"/>
          <w:sz w:val="20"/>
        </w:rPr>
        <w:t xml:space="preserve"> </w:t>
      </w:r>
      <w:r>
        <w:rPr>
          <w:rFonts w:ascii="Times New Roman" w:hAnsi="Times New Roman"/>
          <w:color w:val="000000"/>
          <w:sz w:val="18"/>
        </w:rPr>
        <w:t>vote per share of common stock, and holders of the Company’s Class B common stock are not entitled to any votes per share of Class B common stock, including for the election of directors.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November 2022 Underwritten Offering</w:t>
      </w:r>
    </w:p>
    <w:p>
      <w:pPr>
        <w:pStyle w:val="TextBody"/>
        <w:bidi w:val="0"/>
        <w:spacing w:before="108" w:after="283"/>
        <w:jc w:val="left"/>
        <w:rPr>
          <w:rFonts w:ascii="Times New Roman" w:hAnsi="Times New Roman"/>
          <w:sz w:val="20"/>
        </w:rPr>
      </w:pPr>
      <w:r>
        <w:rPr>
          <w:rFonts w:ascii="Times New Roman" w:hAnsi="Times New Roman"/>
          <w:color w:val="000000"/>
          <w:sz w:val="18"/>
        </w:rPr>
        <w:t>On November 8, 2022, the Company completed a follow-on offering under its shelf registration statement on Form S-3 (File No. 333-262528) and a related prospectus supplement pursuant to which the Company issued an aggregate of 9,745,128</w:t>
      </w:r>
      <w:r>
        <w:rPr>
          <w:rFonts w:ascii="Times New Roman" w:hAnsi="Times New Roman"/>
          <w:color w:val="000000"/>
          <w:sz w:val="20"/>
        </w:rPr>
        <w:t xml:space="preserve"> </w:t>
      </w:r>
      <w:r>
        <w:rPr>
          <w:rFonts w:ascii="Times New Roman" w:hAnsi="Times New Roman"/>
          <w:color w:val="000000"/>
          <w:sz w:val="18"/>
        </w:rPr>
        <w:t>shares of its common stock to at a public offering price of $6.67</w:t>
      </w:r>
      <w:r>
        <w:rPr>
          <w:rFonts w:ascii="Times New Roman" w:hAnsi="Times New Roman"/>
          <w:color w:val="000000"/>
          <w:sz w:val="20"/>
        </w:rPr>
        <w:t xml:space="preserve"> </w:t>
      </w:r>
      <w:r>
        <w:rPr>
          <w:rFonts w:ascii="Times New Roman" w:hAnsi="Times New Roman"/>
          <w:color w:val="000000"/>
          <w:sz w:val="18"/>
        </w:rPr>
        <w:t>per share. The Company received aggregate net proceeds of $61.7</w:t>
      </w:r>
      <w:r>
        <w:rPr>
          <w:rFonts w:ascii="Times New Roman" w:hAnsi="Times New Roman"/>
          <w:color w:val="000000"/>
          <w:sz w:val="20"/>
        </w:rPr>
        <w:t xml:space="preserve"> </w:t>
      </w:r>
      <w:r>
        <w:rPr>
          <w:rFonts w:ascii="Times New Roman" w:hAnsi="Times New Roman"/>
          <w:color w:val="000000"/>
          <w:sz w:val="18"/>
        </w:rPr>
        <w:t>million from the offering after deducting underwriting discounts and commissions and other offering expenses.</w:t>
      </w:r>
      <w:r>
        <w:rPr>
          <w:rFonts w:ascii="Times New Roman" w:hAnsi="Times New Roman"/>
          <w:color w:val="000000"/>
          <w:sz w:val="20"/>
        </w:rPr>
        <w:t xml:space="preserve"> </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Common stock warrants</w:t>
      </w:r>
    </w:p>
    <w:p>
      <w:pPr>
        <w:pStyle w:val="TextBody"/>
        <w:bidi w:val="0"/>
        <w:spacing w:before="108" w:after="283"/>
        <w:jc w:val="left"/>
        <w:rPr>
          <w:rFonts w:ascii="Times New Roman" w:hAnsi="Times New Roman"/>
          <w:sz w:val="20"/>
        </w:rPr>
      </w:pPr>
      <w:r>
        <w:rPr>
          <w:rFonts w:ascii="Times New Roman" w:hAnsi="Times New Roman"/>
          <w:color w:val="000000"/>
          <w:sz w:val="18"/>
        </w:rPr>
        <w:t>The Company issued the warrants described below in 2016 in connection with certain advisory services. The warrants became exercisable upon the Company's IPO for a period of 365 and 450 days.</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Upon adoption of ASU No. 2018-07 on October 1, 2020, the measurement date of the warrants became fixed in accordance with the guidance, and such fair value was nominal since the warrants were deeply out-of-the-money. In December 2021, a total of 566,586</w:t>
      </w:r>
      <w:r>
        <w:rPr>
          <w:rFonts w:ascii="Times New Roman" w:hAnsi="Times New Roman"/>
          <w:color w:val="000000"/>
          <w:sz w:val="20"/>
        </w:rPr>
        <w:t xml:space="preserve"> </w:t>
      </w:r>
      <w:r>
        <w:rPr>
          <w:rFonts w:ascii="Times New Roman" w:hAnsi="Times New Roman"/>
          <w:color w:val="000000"/>
          <w:sz w:val="18"/>
        </w:rPr>
        <w:t>warrants with an exercise period of 365</w:t>
      </w:r>
      <w:r>
        <w:rPr>
          <w:rFonts w:ascii="Times New Roman" w:hAnsi="Times New Roman"/>
          <w:color w:val="000000"/>
          <w:sz w:val="20"/>
        </w:rPr>
        <w:t xml:space="preserve"> </w:t>
      </w:r>
      <w:r>
        <w:rPr>
          <w:rFonts w:ascii="Times New Roman" w:hAnsi="Times New Roman"/>
          <w:color w:val="000000"/>
          <w:sz w:val="18"/>
        </w:rPr>
        <w:t>days after the Company's IPO expired unexercised. The remaining 151,088</w:t>
      </w:r>
      <w:r>
        <w:rPr>
          <w:rFonts w:ascii="Times New Roman" w:hAnsi="Times New Roman"/>
          <w:color w:val="000000"/>
          <w:sz w:val="20"/>
        </w:rPr>
        <w:t xml:space="preserve"> </w:t>
      </w:r>
      <w:r>
        <w:rPr>
          <w:rFonts w:ascii="Times New Roman" w:hAnsi="Times New Roman"/>
          <w:color w:val="000000"/>
          <w:sz w:val="18"/>
        </w:rPr>
        <w:t>warrants with an exercise period of 450</w:t>
      </w:r>
      <w:r>
        <w:rPr>
          <w:rFonts w:ascii="Times New Roman" w:hAnsi="Times New Roman"/>
          <w:color w:val="000000"/>
          <w:sz w:val="20"/>
        </w:rPr>
        <w:t xml:space="preserve"> </w:t>
      </w:r>
      <w:r>
        <w:rPr>
          <w:rFonts w:ascii="Times New Roman" w:hAnsi="Times New Roman"/>
          <w:color w:val="000000"/>
          <w:sz w:val="18"/>
        </w:rPr>
        <w:t>days after the Company's IPO expired unexercised in March 2022. Accordingly, there are no remaining common stock warrants outstanding and exercisable at December 31, 2022 or December 31, 2023.</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Open market sale agreement</w:t>
      </w:r>
    </w:p>
    <w:p>
      <w:pPr>
        <w:pStyle w:val="TextBody"/>
        <w:bidi w:val="0"/>
        <w:spacing w:before="108" w:after="283"/>
        <w:jc w:val="left"/>
        <w:rPr>
          <w:rFonts w:ascii="Times New Roman" w:hAnsi="Times New Roman"/>
          <w:sz w:val="20"/>
        </w:rPr>
      </w:pPr>
      <w:r>
        <w:rPr>
          <w:rFonts w:ascii="Times New Roman" w:hAnsi="Times New Roman"/>
          <w:color w:val="000000"/>
          <w:sz w:val="18"/>
        </w:rPr>
        <w:t>In January 2023, BioAtla, Inc. (the “Company”) entered into an open market sale agreement under which the Company may offer and sell, from time to time in its sole discretion, shares of the Company’s common stock, par value $0.0001</w:t>
      </w:r>
      <w:r>
        <w:rPr>
          <w:rFonts w:ascii="Times New Roman" w:hAnsi="Times New Roman"/>
          <w:color w:val="000000"/>
          <w:sz w:val="20"/>
        </w:rPr>
        <w:t xml:space="preserve"> </w:t>
      </w:r>
      <w:r>
        <w:rPr>
          <w:rFonts w:ascii="Times New Roman" w:hAnsi="Times New Roman"/>
          <w:color w:val="000000"/>
          <w:sz w:val="18"/>
        </w:rPr>
        <w:t>per share, with aggregate gross sales proceeds of up to $100,000,000</w:t>
      </w:r>
      <w:r>
        <w:rPr>
          <w:rFonts w:ascii="Times New Roman" w:hAnsi="Times New Roman"/>
          <w:color w:val="000000"/>
          <w:sz w:val="20"/>
        </w:rPr>
        <w:t xml:space="preserve"> </w:t>
      </w:r>
      <w:r>
        <w:rPr>
          <w:rFonts w:ascii="Times New Roman" w:hAnsi="Times New Roman"/>
          <w:color w:val="000000"/>
          <w:sz w:val="18"/>
        </w:rPr>
        <w:t>through an “at the market” equity offering program under which Jefferies LLC will act as sales agent. No shares have been sold under the agreement to date.</w:t>
      </w:r>
      <w:r>
        <w:rPr>
          <w:rFonts w:ascii="Times New Roman" w:hAnsi="Times New Roman"/>
          <w:color w:val="000000"/>
          <w:sz w:val="20"/>
        </w:rPr>
        <w:t xml:space="preserve"> </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2020 Equity Incentive Plan</w:t>
      </w:r>
    </w:p>
    <w:p>
      <w:pPr>
        <w:pStyle w:val="TextBody"/>
        <w:bidi w:val="0"/>
        <w:spacing w:before="108" w:after="283"/>
        <w:jc w:val="left"/>
        <w:rPr>
          <w:rFonts w:ascii="Times New Roman" w:hAnsi="Times New Roman"/>
          <w:sz w:val="20"/>
        </w:rPr>
      </w:pPr>
      <w:r>
        <w:rPr>
          <w:rFonts w:ascii="Times New Roman" w:hAnsi="Times New Roman"/>
          <w:color w:val="000000"/>
          <w:sz w:val="18"/>
        </w:rPr>
        <w:t>On October 29, 2020, the Company’s board of directors approved the adoption of the BioAtla, Inc. 2020 Equity Incentive Plan (the “2020 Plan”) and approved certain amendments to the 2020 Plan in December 2020. The Company’s stockholders approved the 2020 Plan, as amended, in December 2020. Under the 2020 Plan, the Company may grant awards of common stock to the Company’s employees, consultants and non-employee directors pursuant to option awards, stock appreciation rights awards, restricted stock awards, restricted stock unit awards, performance stock awards, performance stock unit awards and other stock-based awards. As of December 31, 2023 and 2022, the total number of common shares authorized for issuance under the 2020 Plan was 9,196,970</w:t>
      </w:r>
      <w:r>
        <w:rPr>
          <w:rFonts w:ascii="Times New Roman" w:hAnsi="Times New Roman"/>
          <w:color w:val="000000"/>
          <w:sz w:val="20"/>
        </w:rPr>
        <w:t xml:space="preserve"> </w:t>
      </w:r>
      <w:r>
        <w:rPr>
          <w:rFonts w:ascii="Times New Roman" w:hAnsi="Times New Roman"/>
          <w:color w:val="000000"/>
          <w:sz w:val="18"/>
        </w:rPr>
        <w:t>and 7,658,509,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w:t>
      </w:r>
      <w:r>
        <w:rPr>
          <w:rFonts w:ascii="Times New Roman" w:hAnsi="Times New Roman"/>
          <w:color w:val="000000"/>
          <w:sz w:val="20"/>
        </w:rPr>
        <w:t xml:space="preserve"> </w:t>
      </w:r>
      <w:r>
        <w:rPr>
          <w:rFonts w:ascii="Times New Roman" w:hAnsi="Times New Roman"/>
          <w:color w:val="000000"/>
          <w:sz w:val="18"/>
        </w:rPr>
        <w:t>months, subject to continuous service.</w:t>
      </w:r>
    </w:p>
    <w:p>
      <w:pPr>
        <w:pStyle w:val="TextBody"/>
        <w:bidi w:val="0"/>
        <w:spacing w:before="108" w:after="283"/>
        <w:jc w:val="left"/>
        <w:rPr>
          <w:rFonts w:ascii="Times New Roman" w:hAnsi="Times New Roman"/>
          <w:sz w:val="20"/>
        </w:rPr>
      </w:pPr>
      <w:r>
        <w:rPr>
          <w:rFonts w:ascii="Times New Roman" w:hAnsi="Times New Roman"/>
          <w:color w:val="000000"/>
          <w:sz w:val="18"/>
        </w:rPr>
        <w:t>On February 26, 2023, the Compensation Committee of the Company’s board of directors approved a modification to the Company’s 2020 Plan to allow vesting of RSUs or stock options, as applicable, subject to the grantee’s continued service to the Company and/or one of its subsidiaries as an employee, non-employee director, or independent contractor. Unvested RSUs totaling 139,730</w:t>
      </w:r>
      <w:r>
        <w:rPr>
          <w:rFonts w:ascii="Times New Roman" w:hAnsi="Times New Roman"/>
          <w:color w:val="000000"/>
          <w:sz w:val="20"/>
        </w:rPr>
        <w:t xml:space="preserve"> </w:t>
      </w:r>
      <w:r>
        <w:rPr>
          <w:rFonts w:ascii="Times New Roman" w:hAnsi="Times New Roman"/>
          <w:color w:val="000000"/>
          <w:sz w:val="18"/>
        </w:rPr>
        <w:t>shares and 574,244</w:t>
      </w:r>
      <w:r>
        <w:rPr>
          <w:rFonts w:ascii="Times New Roman" w:hAnsi="Times New Roman"/>
          <w:color w:val="000000"/>
          <w:sz w:val="20"/>
        </w:rPr>
        <w:t xml:space="preserve"> </w:t>
      </w:r>
      <w:r>
        <w:rPr>
          <w:rFonts w:ascii="Times New Roman" w:hAnsi="Times New Roman"/>
          <w:color w:val="000000"/>
          <w:sz w:val="18"/>
        </w:rPr>
        <w:t>unvested options which would have been forfeited under the original terms of the 2020 Plan will now continue to vest. The Company applied modification accounting to these awards which resulted in a decrease in fair value to these awards. The Company calculated compensation cost for the modified unvested awards of $416,000</w:t>
      </w:r>
      <w:r>
        <w:rPr>
          <w:rFonts w:ascii="Times New Roman" w:hAnsi="Times New Roman"/>
          <w:color w:val="000000"/>
          <w:sz w:val="20"/>
        </w:rPr>
        <w:t xml:space="preserve"> </w:t>
      </w:r>
      <w:r>
        <w:rPr>
          <w:rFonts w:ascii="Times New Roman" w:hAnsi="Times New Roman"/>
          <w:color w:val="000000"/>
          <w:sz w:val="18"/>
        </w:rPr>
        <w:t>related to the RSUs and $962,000</w:t>
      </w:r>
      <w:r>
        <w:rPr>
          <w:rFonts w:ascii="Times New Roman" w:hAnsi="Times New Roman"/>
          <w:color w:val="000000"/>
          <w:sz w:val="20"/>
        </w:rPr>
        <w:t xml:space="preserve"> </w:t>
      </w:r>
      <w:r>
        <w:rPr>
          <w:rFonts w:ascii="Times New Roman" w:hAnsi="Times New Roman"/>
          <w:color w:val="000000"/>
          <w:sz w:val="18"/>
        </w:rPr>
        <w:t>related to the options, and will recognize these amounts over the remaining requisite service periods. The modification also resulted in an increase to the term of 130,699</w:t>
      </w:r>
      <w:r>
        <w:rPr>
          <w:rFonts w:ascii="Times New Roman" w:hAnsi="Times New Roman"/>
          <w:color w:val="000000"/>
          <w:sz w:val="20"/>
        </w:rPr>
        <w:t xml:space="preserve"> </w:t>
      </w:r>
      <w:r>
        <w:rPr>
          <w:rFonts w:ascii="Times New Roman" w:hAnsi="Times New Roman"/>
          <w:color w:val="000000"/>
          <w:sz w:val="18"/>
        </w:rPr>
        <w:t>fully vested options for which $123,000</w:t>
      </w:r>
      <w:r>
        <w:rPr>
          <w:rFonts w:ascii="Times New Roman" w:hAnsi="Times New Roman"/>
          <w:color w:val="000000"/>
          <w:sz w:val="20"/>
        </w:rPr>
        <w:t xml:space="preserve"> </w:t>
      </w:r>
      <w:r>
        <w:rPr>
          <w:rFonts w:ascii="Times New Roman" w:hAnsi="Times New Roman"/>
          <w:color w:val="000000"/>
          <w:sz w:val="18"/>
        </w:rPr>
        <w:t>of incremental compensation cost was immediately recognized on the date of the modification.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Stock-based compensation expense recognized for all equity awards under the 2020 Plan has been reported in the statements of operations and comprehensive loss as follows (in thousands):</w:t>
      </w:r>
    </w:p>
    <w:p>
      <w:pPr>
        <w:pStyle w:val="TextBody"/>
        <w:bidi w:val="0"/>
        <w:spacing w:before="180" w:after="283"/>
        <w:jc w:val="center"/>
        <w:rPr>
          <w:rFonts w:ascii="Times New Roman" w:hAnsi="Times New Roman"/>
          <w:color w:val="000000"/>
          <w:sz w:val="18"/>
        </w:rPr>
      </w:pPr>
      <w:bookmarkStart w:id="23" w:name="bkmk_231"/>
      <w:bookmarkEnd w:id="23"/>
      <w:r>
        <w:rPr>
          <w:rFonts w:ascii="Times New Roman" w:hAnsi="Times New Roman"/>
          <w:color w:val="000000"/>
          <w:sz w:val="18"/>
        </w:rPr>
        <w:t>88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tbl>
      <w:tblPr>
        <w:tblW w:w="4492" w:type="dxa"/>
        <w:jc w:val="left"/>
        <w:tblInd w:w="0" w:type="dxa"/>
        <w:tblLayout w:type="fixed"/>
        <w:tblCellMar>
          <w:top w:w="28" w:type="dxa"/>
          <w:left w:w="28" w:type="dxa"/>
          <w:bottom w:w="28" w:type="dxa"/>
          <w:right w:w="28" w:type="dxa"/>
        </w:tblCellMar>
      </w:tblPr>
      <w:tblGrid>
        <w:gridCol w:w="2011"/>
        <w:gridCol w:w="146"/>
        <w:gridCol w:w="223"/>
        <w:gridCol w:w="683"/>
        <w:gridCol w:w="166"/>
        <w:gridCol w:w="166"/>
        <w:gridCol w:w="223"/>
        <w:gridCol w:w="683"/>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5,462</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5,419</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8,082</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9,144</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14,563</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Restricted stock units</w:t>
      </w:r>
    </w:p>
    <w:p>
      <w:pPr>
        <w:pStyle w:val="TextBody"/>
        <w:bidi w:val="0"/>
        <w:spacing w:before="216" w:after="283"/>
        <w:jc w:val="left"/>
        <w:rPr>
          <w:rFonts w:ascii="Times New Roman" w:hAnsi="Times New Roman"/>
          <w:sz w:val="20"/>
        </w:rPr>
      </w:pPr>
      <w:r>
        <w:rPr>
          <w:rFonts w:ascii="Times New Roman" w:hAnsi="Times New Roman"/>
          <w:color w:val="000000"/>
          <w:sz w:val="18"/>
        </w:rPr>
        <w:t>In December 2022, the Company’s board of directors approved an amendment to the Director Compensation Policy, which allows each director to elect to receive their quarterly director fees in the form of restricted stock in lieu of cash. Two board members elected to receive shares of restricted stock in lieu of cash. For the twelve months ended December 31, 2023, the Company issued 45,290</w:t>
      </w:r>
      <w:r>
        <w:rPr>
          <w:rFonts w:ascii="Times New Roman" w:hAnsi="Times New Roman"/>
          <w:color w:val="000000"/>
          <w:sz w:val="20"/>
        </w:rPr>
        <w:t xml:space="preserve"> </w:t>
      </w:r>
      <w:r>
        <w:rPr>
          <w:rFonts w:ascii="Times New Roman" w:hAnsi="Times New Roman"/>
          <w:color w:val="000000"/>
          <w:sz w:val="18"/>
        </w:rPr>
        <w:t>shares of fully vested restricted stock to the two board members. Compensation expense was earned and recognized for these fully vested restricted stock grants in the amount of $0.1</w:t>
      </w:r>
      <w:r>
        <w:rPr>
          <w:rFonts w:ascii="Times New Roman" w:hAnsi="Times New Roman"/>
          <w:color w:val="000000"/>
          <w:sz w:val="20"/>
        </w:rPr>
        <w:t xml:space="preserve"> </w:t>
      </w:r>
      <w:r>
        <w:rPr>
          <w:rFonts w:ascii="Times New Roman" w:hAnsi="Times New Roman"/>
          <w:color w:val="000000"/>
          <w:sz w:val="18"/>
        </w:rPr>
        <w:t>million for the twelve months ended December 31, 2023.</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following table summarizes RSU activity under the 2020 Plan for the years ended December 31, 2023 and 2022:</w:t>
      </w:r>
    </w:p>
    <w:p>
      <w:pPr>
        <w:pStyle w:val="Normal"/>
        <w:bidi w:val="0"/>
        <w:spacing w:before="0" w:after="0"/>
        <w:jc w:val="left"/>
        <w:rPr>
          <w:sz w:val="4"/>
          <w:szCs w:val="4"/>
        </w:rPr>
      </w:pPr>
      <w:r>
        <w:rPr>
          <w:sz w:val="4"/>
          <w:szCs w:val="4"/>
        </w:rPr>
      </w:r>
      <w:bookmarkStart w:id="24" w:name="bkmk_232"/>
      <w:bookmarkStart w:id="25" w:name="bkmk_232"/>
      <w:bookmarkEnd w:id="25"/>
    </w:p>
    <w:tbl>
      <w:tblPr>
        <w:tblW w:w="5335" w:type="dxa"/>
        <w:jc w:val="left"/>
        <w:tblInd w:w="0" w:type="dxa"/>
        <w:tblLayout w:type="fixed"/>
        <w:tblCellMar>
          <w:top w:w="28" w:type="dxa"/>
          <w:left w:w="28" w:type="dxa"/>
          <w:bottom w:w="28" w:type="dxa"/>
          <w:right w:w="28" w:type="dxa"/>
        </w:tblCellMar>
      </w:tblPr>
      <w:tblGrid>
        <w:gridCol w:w="2596"/>
        <w:gridCol w:w="146"/>
        <w:gridCol w:w="153"/>
        <w:gridCol w:w="792"/>
        <w:gridCol w:w="166"/>
        <w:gridCol w:w="146"/>
        <w:gridCol w:w="262"/>
        <w:gridCol w:w="683"/>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2021</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975,046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(446,260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(433,948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3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December 31, 2023, total unrecognized stock-based compensation expense for RSUs was $1.8</w:t>
      </w:r>
      <w:r>
        <w:rPr>
          <w:rFonts w:ascii="Times New Roman" w:hAnsi="Times New Roman"/>
          <w:color w:val="000000"/>
          <w:sz w:val="20"/>
        </w:rPr>
        <w:t xml:space="preserve"> </w:t>
      </w:r>
      <w:r>
        <w:rPr>
          <w:rFonts w:ascii="Times New Roman" w:hAnsi="Times New Roman"/>
          <w:color w:val="000000"/>
          <w:sz w:val="18"/>
        </w:rPr>
        <w:t>million, which is expected to be recognized over a remaining weighted-average period of approximately 0.7</w:t>
      </w:r>
      <w:r>
        <w:rPr>
          <w:rFonts w:ascii="Times New Roman" w:hAnsi="Times New Roman"/>
          <w:color w:val="000000"/>
          <w:sz w:val="20"/>
        </w:rPr>
        <w:t xml:space="preserve"> </w:t>
      </w:r>
      <w:r>
        <w:rPr>
          <w:rFonts w:ascii="Times New Roman" w:hAnsi="Times New Roman"/>
          <w:color w:val="000000"/>
          <w:sz w:val="18"/>
        </w:rPr>
        <w:t>years.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Stock options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table summarizes stock option activity under the 2020 Plan for the year ended December 31, 2023 and 2022 (in thousands, except share and per option data and years):</w:t>
      </w:r>
    </w:p>
    <w:p>
      <w:pPr>
        <w:pStyle w:val="Normal"/>
        <w:bidi w:val="0"/>
        <w:spacing w:before="0" w:after="0"/>
        <w:jc w:val="left"/>
        <w:rPr>
          <w:sz w:val="4"/>
          <w:szCs w:val="4"/>
        </w:rPr>
      </w:pPr>
      <w:r>
        <w:rPr>
          <w:sz w:val="4"/>
          <w:szCs w:val="4"/>
        </w:rPr>
      </w:r>
      <w:bookmarkStart w:id="26" w:name="bkmk_234"/>
      <w:bookmarkStart w:id="27" w:name="bkmk_234"/>
      <w:bookmarkEnd w:id="27"/>
    </w:p>
    <w:tbl>
      <w:tblPr>
        <w:tblW w:w="9039" w:type="dxa"/>
        <w:jc w:val="left"/>
        <w:tblInd w:w="0" w:type="dxa"/>
        <w:tblLayout w:type="fixed"/>
        <w:tblCellMar>
          <w:top w:w="28" w:type="dxa"/>
          <w:left w:w="28" w:type="dxa"/>
          <w:bottom w:w="28" w:type="dxa"/>
          <w:right w:w="28" w:type="dxa"/>
        </w:tblCellMar>
      </w:tblPr>
      <w:tblGrid>
        <w:gridCol w:w="3691"/>
        <w:gridCol w:w="146"/>
        <w:gridCol w:w="146"/>
        <w:gridCol w:w="826"/>
        <w:gridCol w:w="166"/>
        <w:gridCol w:w="146"/>
        <w:gridCol w:w="262"/>
        <w:gridCol w:w="683"/>
        <w:gridCol w:w="146"/>
        <w:gridCol w:w="146"/>
        <w:gridCol w:w="251"/>
        <w:gridCol w:w="725"/>
        <w:gridCol w:w="146"/>
        <w:gridCol w:w="146"/>
        <w:gridCol w:w="196"/>
        <w:gridCol w:w="826"/>
        <w:gridCol w:w="3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w:t>
              <w:br/>
              <w:t>average</w:t>
              <w:br/>
              <w:t>exercise</w:t>
              <w:br/>
              <w:t>price per</w:t>
              <w:br/>
              <w:t>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1,086,902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991,495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1,718,200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(50,387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Expired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2,736,918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3,636,148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4,020,395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(371,439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(112,367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6,273,507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74,680</w:t>
            </w:r>
          </w:p>
        </w:tc>
        <w:tc>
          <w:tcPr>
            <w:tcW w:w="3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and expected to vest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6,273,507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74,680</w:t>
            </w:r>
          </w:p>
        </w:tc>
        <w:tc>
          <w:tcPr>
            <w:tcW w:w="3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2,007</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16"/>
        <w:jc w:val="left"/>
        <w:rPr>
          <w:rFonts w:ascii="Times New Roman" w:hAnsi="Times New Roman"/>
          <w:sz w:val="20"/>
        </w:rPr>
      </w:pPr>
      <w:r>
        <w:rPr>
          <w:rFonts w:ascii="Times New Roman" w:hAnsi="Times New Roman"/>
          <w:color w:val="000000"/>
          <w:sz w:val="18"/>
        </w:rPr>
        <w:t>As of December 31, 2023, total unrecognized stock-based compensation cost for unvested common stock options was $15.6</w:t>
      </w:r>
      <w:r>
        <w:rPr>
          <w:rFonts w:ascii="Times New Roman" w:hAnsi="Times New Roman"/>
          <w:color w:val="000000"/>
          <w:sz w:val="20"/>
        </w:rPr>
        <w:t xml:space="preserve"> </w:t>
      </w:r>
      <w:r>
        <w:rPr>
          <w:rFonts w:ascii="Times New Roman" w:hAnsi="Times New Roman"/>
          <w:color w:val="000000"/>
          <w:sz w:val="18"/>
        </w:rPr>
        <w:t>million, which is expected to be recognized over a remaining weighted-average period of approximately 2.8 years. The weighted- average grant date fair value of stock options granted during the years ended December 31, 2023 and 2022</w:t>
      </w:r>
      <w:r>
        <w:rPr>
          <w:rFonts w:ascii="Times New Roman" w:hAnsi="Times New Roman"/>
          <w:color w:val="000000"/>
          <w:sz w:val="20"/>
        </w:rPr>
        <w:t xml:space="preserve"> </w:t>
      </w:r>
      <w:r>
        <w:rPr>
          <w:rFonts w:ascii="Times New Roman" w:hAnsi="Times New Roman"/>
          <w:color w:val="000000"/>
          <w:sz w:val="18"/>
        </w:rPr>
        <w:t>was $2.61</w:t>
      </w:r>
      <w:r>
        <w:rPr>
          <w:rFonts w:ascii="Times New Roman" w:hAnsi="Times New Roman"/>
          <w:color w:val="000000"/>
          <w:sz w:val="20"/>
        </w:rPr>
        <w:t xml:space="preserve"> </w:t>
      </w:r>
      <w:r>
        <w:rPr>
          <w:rFonts w:ascii="Times New Roman" w:hAnsi="Times New Roman"/>
          <w:color w:val="000000"/>
          <w:sz w:val="18"/>
        </w:rPr>
        <w:t>per share and $4.06</w:t>
      </w:r>
      <w:r>
        <w:rPr>
          <w:rFonts w:ascii="Times New Roman" w:hAnsi="Times New Roman"/>
          <w:color w:val="000000"/>
          <w:sz w:val="20"/>
        </w:rPr>
        <w:t xml:space="preserve"> </w:t>
      </w:r>
      <w:r>
        <w:rPr>
          <w:rFonts w:ascii="Times New Roman" w:hAnsi="Times New Roman"/>
          <w:color w:val="000000"/>
          <w:sz w:val="18"/>
        </w:rPr>
        <w:t>per share, respectively. The total fair</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0" w:after="216"/>
        <w:jc w:val="left"/>
        <w:rPr>
          <w:rFonts w:ascii="Times New Roman" w:hAnsi="Times New Roman"/>
          <w:sz w:val="20"/>
        </w:rPr>
      </w:pPr>
      <w:r>
        <w:rPr>
          <w:rFonts w:ascii="Times New Roman" w:hAnsi="Times New Roman"/>
          <w:color w:val="000000"/>
          <w:sz w:val="18"/>
        </w:rPr>
        <w:t>value of options vested during the years ended December 31, 2023 and 2022</w:t>
      </w:r>
      <w:r>
        <w:rPr>
          <w:rFonts w:ascii="Times New Roman" w:hAnsi="Times New Roman"/>
          <w:color w:val="000000"/>
          <w:sz w:val="20"/>
        </w:rPr>
        <w:t xml:space="preserve"> </w:t>
      </w:r>
      <w:r>
        <w:rPr>
          <w:rFonts w:ascii="Times New Roman" w:hAnsi="Times New Roman"/>
          <w:color w:val="000000"/>
          <w:sz w:val="18"/>
        </w:rPr>
        <w:t>was $6.7</w:t>
      </w:r>
      <w:r>
        <w:rPr>
          <w:rFonts w:ascii="Times New Roman" w:hAnsi="Times New Roman"/>
          <w:color w:val="000000"/>
          <w:sz w:val="20"/>
        </w:rPr>
        <w:t xml:space="preserve"> </w:t>
      </w:r>
      <w:r>
        <w:rPr>
          <w:rFonts w:ascii="Times New Roman" w:hAnsi="Times New Roman"/>
          <w:color w:val="000000"/>
          <w:sz w:val="18"/>
        </w:rPr>
        <w:t>million and $6.9</w:t>
      </w:r>
      <w:r>
        <w:rPr>
          <w:rFonts w:ascii="Times New Roman" w:hAnsi="Times New Roman"/>
          <w:color w:val="000000"/>
          <w:sz w:val="20"/>
        </w:rPr>
        <w:t xml:space="preserve"> </w:t>
      </w:r>
      <w:r>
        <w:rPr>
          <w:rFonts w:ascii="Times New Roman" w:hAnsi="Times New Roman"/>
          <w:color w:val="000000"/>
          <w:sz w:val="18"/>
        </w:rPr>
        <w:t>million, respectively. Upon option exercise, the Company issues new shares of its common stock.</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assumptions used in the Black-Scholes option pricing model to determine the fair value of stock option grants were as follows:</w:t>
      </w:r>
    </w:p>
    <w:p>
      <w:pPr>
        <w:pStyle w:val="Normal"/>
        <w:bidi w:val="0"/>
        <w:spacing w:before="0" w:after="0"/>
        <w:jc w:val="left"/>
        <w:rPr>
          <w:sz w:val="4"/>
          <w:szCs w:val="4"/>
        </w:rPr>
      </w:pPr>
      <w:r>
        <w:rPr>
          <w:sz w:val="4"/>
          <w:szCs w:val="4"/>
        </w:rPr>
      </w:r>
      <w:bookmarkStart w:id="28" w:name="bkmk_235"/>
      <w:bookmarkStart w:id="29" w:name="bkmk_235"/>
      <w:bookmarkEnd w:id="29"/>
    </w:p>
    <w:tbl>
      <w:tblPr>
        <w:tblW w:w="4505" w:type="dxa"/>
        <w:jc w:val="left"/>
        <w:tblInd w:w="0" w:type="dxa"/>
        <w:tblLayout w:type="fixed"/>
        <w:tblCellMar>
          <w:top w:w="28" w:type="dxa"/>
          <w:left w:w="28" w:type="dxa"/>
          <w:bottom w:w="28" w:type="dxa"/>
          <w:right w:w="28" w:type="dxa"/>
        </w:tblCellMar>
      </w:tblPr>
      <w:tblGrid>
        <w:gridCol w:w="1816"/>
        <w:gridCol w:w="146"/>
        <w:gridCol w:w="216"/>
        <w:gridCol w:w="625"/>
        <w:gridCol w:w="357"/>
        <w:gridCol w:w="203"/>
        <w:gridCol w:w="216"/>
        <w:gridCol w:w="625"/>
        <w:gridCol w:w="30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w:t>
            </w:r>
          </w:p>
        </w:tc>
        <w:tc>
          <w:tcPr>
            <w:tcW w:w="35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35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5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6.05</w:t>
            </w:r>
            <w:r>
              <w:rPr>
                <w:rFonts w:ascii="Times New Roman" w:hAnsi="Times New Roman"/>
                <w:color w:val="000000"/>
                <w:sz w:val="20"/>
              </w:rPr>
              <w:t> </w:t>
            </w:r>
            <w:r>
              <w:rPr>
                <w:rFonts w:ascii="Times New Roman" w:hAnsi="Times New Roman"/>
                <w:color w:val="000000"/>
                <w:sz w:val="18"/>
              </w:rPr>
              <w:t>years</w:t>
            </w:r>
          </w:p>
        </w:tc>
        <w:tc>
          <w:tcPr>
            <w:tcW w:w="357"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right"/>
              <w:rPr/>
            </w:pPr>
            <w:r>
              <w:rPr/>
              <w:t> </w:t>
            </w:r>
          </w:p>
        </w:tc>
        <w:tc>
          <w:tcPr>
            <w:tcW w:w="841" w:type="dxa"/>
            <w:gridSpan w:val="2"/>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6.04</w:t>
            </w:r>
            <w:r>
              <w:rPr>
                <w:rFonts w:ascii="Times New Roman" w:hAnsi="Times New Roman"/>
                <w:color w:val="000000"/>
                <w:sz w:val="20"/>
              </w:rPr>
              <w:t> </w:t>
            </w:r>
            <w:r>
              <w:rPr>
                <w:rFonts w:ascii="Times New Roman" w:hAnsi="Times New Roman"/>
                <w:color w:val="000000"/>
                <w:sz w:val="18"/>
              </w:rPr>
              <w:t>years</w:t>
            </w:r>
          </w:p>
        </w:tc>
        <w:tc>
          <w:tcPr>
            <w:tcW w:w="30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8"/>
        </w:rPr>
        <w:t>Expected volatility.</w:t>
      </w:r>
      <w:r>
        <w:rPr>
          <w:rFonts w:ascii="Times New Roman" w:hAnsi="Times New Roman"/>
          <w:color w:val="000000"/>
          <w:sz w:val="20"/>
        </w:rPr>
        <w:t xml:space="preserve"> </w:t>
      </w:r>
      <w:r>
        <w:rPr>
          <w:rFonts w:ascii="Times New Roman" w:hAnsi="Times New Roman"/>
          <w:color w:val="000000"/>
          <w:sz w:val="18"/>
        </w:rPr>
        <w:t>As the Company’s common stock does not have a significant trading history, the expected volatility assumption is based on volatilities of a peer group of similar companies whose share prices are publicly available. The peer group was developed based on companies in the biotechnology industry.</w:t>
      </w:r>
    </w:p>
    <w:p>
      <w:pPr>
        <w:pStyle w:val="TextBody"/>
        <w:bidi w:val="0"/>
        <w:spacing w:before="216" w:after="283"/>
        <w:jc w:val="left"/>
        <w:rPr>
          <w:rFonts w:ascii="Times New Roman" w:hAnsi="Times New Roman"/>
          <w:sz w:val="20"/>
        </w:rPr>
      </w:pPr>
      <w:r>
        <w:rPr>
          <w:rFonts w:ascii="Times New Roman" w:hAnsi="Times New Roman"/>
          <w:i/>
          <w:color w:val="000000"/>
          <w:sz w:val="18"/>
        </w:rPr>
        <w:t>Risk-free interest rate.</w:t>
      </w:r>
      <w:r>
        <w:rPr>
          <w:rFonts w:ascii="Times New Roman" w:hAnsi="Times New Roman"/>
          <w:color w:val="000000"/>
          <w:sz w:val="20"/>
        </w:rPr>
        <w:t xml:space="preserve"> </w:t>
      </w:r>
      <w:r>
        <w:rPr>
          <w:rFonts w:ascii="Times New Roman" w:hAnsi="Times New Roman"/>
          <w:color w:val="000000"/>
          <w:sz w:val="18"/>
        </w:rPr>
        <w:t>The Company bases the risk-free interest rate assumption on the U.S. Treasury’s rates for U.S. Treasury zero-coupon bonds with maturities similar to those of the expected term of the award being valued.</w:t>
      </w:r>
    </w:p>
    <w:p>
      <w:pPr>
        <w:pStyle w:val="TextBody"/>
        <w:bidi w:val="0"/>
        <w:spacing w:before="216" w:after="283"/>
        <w:jc w:val="left"/>
        <w:rPr>
          <w:rFonts w:ascii="Times New Roman" w:hAnsi="Times New Roman"/>
          <w:sz w:val="20"/>
        </w:rPr>
      </w:pPr>
      <w:r>
        <w:rPr>
          <w:rFonts w:ascii="Times New Roman" w:hAnsi="Times New Roman"/>
          <w:i/>
          <w:color w:val="000000"/>
          <w:sz w:val="18"/>
        </w:rPr>
        <w:t>Expected dividend yield.</w:t>
      </w:r>
      <w:r>
        <w:rPr>
          <w:rFonts w:ascii="Times New Roman" w:hAnsi="Times New Roman"/>
          <w:color w:val="000000"/>
          <w:sz w:val="20"/>
        </w:rPr>
        <w:t xml:space="preserve"> </w:t>
      </w:r>
      <w:r>
        <w:rPr>
          <w:rFonts w:ascii="Times New Roman" w:hAnsi="Times New Roman"/>
          <w:color w:val="000000"/>
          <w:sz w:val="18"/>
        </w:rPr>
        <w:t>The Company bases the expected dividend yield assumption on the fact that it has never paid cash dividends and has no present plans to pay cash dividends.</w:t>
      </w:r>
    </w:p>
    <w:p>
      <w:pPr>
        <w:pStyle w:val="TextBody"/>
        <w:bidi w:val="0"/>
        <w:spacing w:before="216" w:after="283"/>
        <w:jc w:val="left"/>
        <w:rPr>
          <w:rFonts w:ascii="Times New Roman" w:hAnsi="Times New Roman"/>
          <w:sz w:val="20"/>
        </w:rPr>
      </w:pPr>
      <w:r>
        <w:rPr>
          <w:rFonts w:ascii="Times New Roman" w:hAnsi="Times New Roman"/>
          <w:i/>
          <w:color w:val="000000"/>
          <w:sz w:val="18"/>
        </w:rPr>
        <w:t>Expected term.</w:t>
      </w:r>
      <w:r>
        <w:rPr>
          <w:rFonts w:ascii="Times New Roman" w:hAnsi="Times New Roman"/>
          <w:color w:val="000000"/>
          <w:sz w:val="20"/>
        </w:rPr>
        <w:t xml:space="preserve"> </w:t>
      </w:r>
      <w:r>
        <w:rPr>
          <w:rFonts w:ascii="Times New Roman" w:hAnsi="Times New Roman"/>
          <w:color w:val="000000"/>
          <w:sz w:val="18"/>
        </w:rPr>
        <w:t>For employees, the expected term represents the period of time that options are expected to be outstanding. Because the Company 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Employee Stock Purchase Plan</w:t>
      </w:r>
    </w:p>
    <w:p>
      <w:pPr>
        <w:pStyle w:val="TextBody"/>
        <w:bidi w:val="0"/>
        <w:spacing w:before="108" w:after="283"/>
        <w:jc w:val="left"/>
        <w:rPr>
          <w:rFonts w:ascii="Times New Roman" w:hAnsi="Times New Roman"/>
          <w:sz w:val="20"/>
        </w:rPr>
      </w:pPr>
      <w:r>
        <w:rPr>
          <w:rFonts w:ascii="Times New Roman" w:hAnsi="Times New Roman"/>
          <w:color w:val="000000"/>
          <w:sz w:val="18"/>
        </w:rPr>
        <w:t>In December 2020, the Company’s board of directors and stockholders approved the BioAtla, Inc. Employee Stock Purchase Plan (the “ESPP”). The ESPP permits participants to purchase common stock through payroll deductions of up to 15% of their eligible compensation. As of December 31, 2023 and 2022, a total of 1,737,098</w:t>
      </w:r>
      <w:r>
        <w:rPr>
          <w:rFonts w:ascii="Times New Roman" w:hAnsi="Times New Roman"/>
          <w:color w:val="000000"/>
          <w:sz w:val="20"/>
        </w:rPr>
        <w:t xml:space="preserve"> </w:t>
      </w:r>
      <w:r>
        <w:rPr>
          <w:rFonts w:ascii="Times New Roman" w:hAnsi="Times New Roman"/>
          <w:color w:val="000000"/>
          <w:sz w:val="18"/>
        </w:rPr>
        <w:t>and 1,229,148</w:t>
      </w:r>
      <w:r>
        <w:rPr>
          <w:rFonts w:ascii="Times New Roman" w:hAnsi="Times New Roman"/>
          <w:color w:val="000000"/>
          <w:sz w:val="20"/>
        </w:rPr>
        <w:t xml:space="preserve"> </w:t>
      </w:r>
      <w:r>
        <w:rPr>
          <w:rFonts w:ascii="Times New Roman" w:hAnsi="Times New Roman"/>
          <w:color w:val="000000"/>
          <w:sz w:val="18"/>
        </w:rPr>
        <w:t>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w:t>
      </w:r>
      <w:r>
        <w:rPr>
          <w:rFonts w:ascii="Times New Roman" w:hAnsi="Times New Roman"/>
          <w:color w:val="000000"/>
          <w:sz w:val="20"/>
        </w:rPr>
        <w:t xml:space="preserve"> </w:t>
      </w:r>
      <w:r>
        <w:rPr>
          <w:rFonts w:ascii="Times New Roman" w:hAnsi="Times New Roman"/>
          <w:color w:val="000000"/>
          <w:sz w:val="18"/>
        </w:rPr>
        <w:t>common shares or (iii) a number determined by the Company’s board of directors that is less than (i) and (ii). During the years ended December 31, 2023 and 2022, the Company issued 165,550</w:t>
      </w:r>
      <w:r>
        <w:rPr>
          <w:rFonts w:ascii="Times New Roman" w:hAnsi="Times New Roman"/>
          <w:color w:val="000000"/>
          <w:sz w:val="20"/>
        </w:rPr>
        <w:t xml:space="preserve"> </w:t>
      </w:r>
      <w:r>
        <w:rPr>
          <w:rFonts w:ascii="Times New Roman" w:hAnsi="Times New Roman"/>
          <w:color w:val="000000"/>
          <w:sz w:val="18"/>
        </w:rPr>
        <w:t>and 147,564</w:t>
      </w:r>
      <w:r>
        <w:rPr>
          <w:rFonts w:ascii="Times New Roman" w:hAnsi="Times New Roman"/>
          <w:color w:val="000000"/>
          <w:sz w:val="20"/>
        </w:rPr>
        <w:t xml:space="preserve"> </w:t>
      </w:r>
      <w:r>
        <w:rPr>
          <w:rFonts w:ascii="Times New Roman" w:hAnsi="Times New Roman"/>
          <w:color w:val="000000"/>
          <w:sz w:val="18"/>
        </w:rPr>
        <w:t>shares of common stock under the ESPP, respectively. As of December 31, 2023, 1,412,802</w:t>
      </w:r>
      <w:r>
        <w:rPr>
          <w:rFonts w:ascii="Times New Roman" w:hAnsi="Times New Roman"/>
          <w:color w:val="000000"/>
          <w:sz w:val="20"/>
        </w:rPr>
        <w:t xml:space="preserve"> </w:t>
      </w:r>
      <w:r>
        <w:rPr>
          <w:rFonts w:ascii="Times New Roman" w:hAnsi="Times New Roman"/>
          <w:color w:val="000000"/>
          <w:sz w:val="18"/>
        </w:rPr>
        <w:t>shares of common stock remained available for issuance under the ESPP. Stock-based compensation expense related to the ESPP for the twelve months ended December 31, 2023 and 2022 was $0.2</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Common stock reserved for future issuance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Common stock reserved for future issuance are as follows in common equivalent shares:</w:t>
      </w:r>
    </w:p>
    <w:p>
      <w:pPr>
        <w:pStyle w:val="Normal"/>
        <w:bidi w:val="0"/>
        <w:spacing w:before="0" w:after="0"/>
        <w:jc w:val="left"/>
        <w:rPr>
          <w:sz w:val="4"/>
          <w:szCs w:val="4"/>
        </w:rPr>
      </w:pPr>
      <w:r>
        <w:rPr>
          <w:sz w:val="4"/>
          <w:szCs w:val="4"/>
        </w:rPr>
      </w:r>
      <w:bookmarkStart w:id="30" w:name="bkmk_237"/>
      <w:bookmarkStart w:id="31" w:name="bkmk_237"/>
      <w:bookmarkEnd w:id="31"/>
    </w:p>
    <w:tbl>
      <w:tblPr>
        <w:tblW w:w="7809" w:type="dxa"/>
        <w:jc w:val="left"/>
        <w:tblInd w:w="0" w:type="dxa"/>
        <w:tblLayout w:type="fixed"/>
        <w:tblCellMar>
          <w:top w:w="28" w:type="dxa"/>
          <w:left w:w="28" w:type="dxa"/>
          <w:bottom w:w="28" w:type="dxa"/>
          <w:right w:w="28" w:type="dxa"/>
        </w:tblCellMar>
      </w:tblPr>
      <w:tblGrid>
        <w:gridCol w:w="5236"/>
        <w:gridCol w:w="146"/>
        <w:gridCol w:w="146"/>
        <w:gridCol w:w="826"/>
        <w:gridCol w:w="146"/>
        <w:gridCol w:w="146"/>
        <w:gridCol w:w="146"/>
        <w:gridCol w:w="826"/>
        <w:gridCol w:w="19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options and restricted stock units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6,372,611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3,246,957</w:t>
            </w:r>
          </w:p>
        </w:tc>
        <w:tc>
          <w:tcPr>
            <w:tcW w:w="191" w:type="dxa"/>
            <w:tcBorders/>
            <w:shd w:fill="CFF0FC" w:val="clear"/>
            <w:vAlign w:val="center"/>
          </w:tcPr>
          <w:p>
            <w:pPr>
              <w:pStyle w:val="TableContents"/>
              <w:bidi w:val="0"/>
              <w:spacing w:before="0" w:after="283"/>
              <w:jc w:val="left"/>
              <w:rPr/>
            </w:pPr>
            <w:r>
              <w:rPr/>
              <w:t> </w:t>
            </w:r>
          </w:p>
        </w:tc>
      </w:tr>
      <w:tr>
        <w:trPr/>
        <w:tc>
          <w:tcPr>
            <w:tcW w:w="52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Awards available for future issuance under the 2020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991,413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3,012,554</w:t>
            </w:r>
          </w:p>
        </w:tc>
        <w:tc>
          <w:tcPr>
            <w:tcW w:w="191" w:type="dxa"/>
            <w:tcBorders/>
            <w:shd w:fill="FFFFFF" w:val="clear"/>
            <w:vAlign w:val="center"/>
          </w:tcPr>
          <w:p>
            <w:pPr>
              <w:pStyle w:val="TableContents"/>
              <w:bidi w:val="0"/>
              <w:spacing w:before="0" w:after="283"/>
              <w:jc w:val="left"/>
              <w:rPr/>
            </w:pPr>
            <w:r>
              <w:rPr/>
              <w:t> </w:t>
            </w:r>
          </w:p>
        </w:tc>
      </w:tr>
      <w:tr>
        <w:trPr/>
        <w:tc>
          <w:tcPr>
            <w:tcW w:w="52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Awards available for future issuance under the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1,412,802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1,070,402</w:t>
            </w:r>
          </w:p>
        </w:tc>
        <w:tc>
          <w:tcPr>
            <w:tcW w:w="191" w:type="dxa"/>
            <w:tcBorders/>
            <w:shd w:fill="CFF0FC" w:val="clear"/>
            <w:vAlign w:val="center"/>
          </w:tcPr>
          <w:p>
            <w:pPr>
              <w:pStyle w:val="TableContents"/>
              <w:bidi w:val="0"/>
              <w:spacing w:before="0" w:after="283"/>
              <w:jc w:val="left"/>
              <w:rPr/>
            </w:pPr>
            <w:r>
              <w:rPr/>
              <w:t> </w:t>
            </w:r>
          </w:p>
        </w:tc>
      </w:tr>
      <w:tr>
        <w:trPr/>
        <w:tc>
          <w:tcPr>
            <w:tcW w:w="52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common stock reserved for future issuance</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8,776,826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7,329,913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7. Collaboration, license and option agreements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Global Co-Development and Collaboration Agreement with BeiGene</w:t>
      </w:r>
    </w:p>
    <w:p>
      <w:pPr>
        <w:pStyle w:val="TextBody"/>
        <w:bidi w:val="0"/>
        <w:spacing w:before="108" w:after="283"/>
        <w:jc w:val="left"/>
        <w:rPr>
          <w:rFonts w:ascii="Times New Roman" w:hAnsi="Times New Roman"/>
          <w:sz w:val="20"/>
        </w:rPr>
      </w:pPr>
      <w:r>
        <w:rPr>
          <w:rFonts w:ascii="Times New Roman" w:hAnsi="Times New Roman"/>
          <w:color w:val="000000"/>
          <w:sz w:val="18"/>
        </w:rPr>
        <w:t>In April 2019, the Company entered into a Global Co-Development and Collaboration agreement (the “BeiGene Collaboration”) with BeiGene, Ltd. and BeiGene Switzerland GmbH (collectively “BeiGene”), for the development, manufacturing and commercialization of the Company’s investigational CAB CTLA-4 antibody (evalstotug, BA3071). The BeiGene Collaboration was amended several times between 2019</w:t>
      </w:r>
      <w:r>
        <w:rPr>
          <w:rFonts w:ascii="Times New Roman" w:hAnsi="Times New Roman"/>
          <w:color w:val="000000"/>
          <w:sz w:val="20"/>
        </w:rPr>
        <w:t xml:space="preserve"> </w:t>
      </w:r>
      <w:r>
        <w:rPr>
          <w:rFonts w:ascii="Times New Roman" w:hAnsi="Times New Roman"/>
          <w:color w:val="000000"/>
          <w:sz w:val="18"/>
        </w:rPr>
        <w:t>and 2021</w:t>
      </w:r>
      <w:r>
        <w:rPr>
          <w:rFonts w:ascii="Times New Roman" w:hAnsi="Times New Roman"/>
          <w:color w:val="000000"/>
          <w:sz w:val="20"/>
        </w:rPr>
        <w:t xml:space="preserve"> </w:t>
      </w:r>
      <w:r>
        <w:rPr>
          <w:rFonts w:ascii="Times New Roman" w:hAnsi="Times New Roman"/>
          <w:color w:val="000000"/>
          <w:sz w:val="18"/>
        </w:rPr>
        <w:t>and the Company received a total of $25.0</w:t>
      </w:r>
      <w:r>
        <w:rPr>
          <w:rFonts w:ascii="Times New Roman" w:hAnsi="Times New Roman"/>
          <w:color w:val="000000"/>
          <w:sz w:val="20"/>
        </w:rPr>
        <w:t xml:space="preserve"> </w:t>
      </w:r>
      <w:r>
        <w:rPr>
          <w:rFonts w:ascii="Times New Roman" w:hAnsi="Times New Roman"/>
          <w:color w:val="000000"/>
          <w:sz w:val="18"/>
        </w:rPr>
        <w:t>million in non-refundable payments from BeiGene during that time.</w:t>
      </w:r>
    </w:p>
    <w:p>
      <w:pPr>
        <w:pStyle w:val="TextBody"/>
        <w:bidi w:val="0"/>
        <w:spacing w:before="216" w:after="283"/>
        <w:jc w:val="left"/>
        <w:rPr>
          <w:rFonts w:ascii="Times New Roman" w:hAnsi="Times New Roman"/>
          <w:sz w:val="20"/>
        </w:rPr>
      </w:pPr>
      <w:r>
        <w:rPr>
          <w:rFonts w:ascii="Times New Roman" w:hAnsi="Times New Roman"/>
          <w:color w:val="000000"/>
          <w:sz w:val="18"/>
        </w:rPr>
        <w:t>In November 2021, the BeiGene Collaboration was terminated, subject to survival of certain provisions, and BeiGene handed back rights to know-how and materials received under the amended BeiGene Collaboration. As a result, the Company is responsible for the global development and commercialization of evalstotug. As consideration for this amendment, the Company agreed to pay BeiGene mid-single digit royalties on sales worldwide and on a limited basis will share in any upfront and milestone payments received through a sublicense of evalstotug. The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Company reclassified its then remaining $19.8</w:t>
      </w:r>
      <w:r>
        <w:rPr>
          <w:rFonts w:ascii="Times New Roman" w:hAnsi="Times New Roman"/>
          <w:color w:val="000000"/>
          <w:sz w:val="20"/>
        </w:rPr>
        <w:t xml:space="preserve"> </w:t>
      </w:r>
      <w:r>
        <w:rPr>
          <w:rFonts w:ascii="Times New Roman" w:hAnsi="Times New Roman"/>
          <w:color w:val="000000"/>
          <w:sz w:val="18"/>
        </w:rPr>
        <w:t>million of deferred revenue as a long-term liability which is expected to settle as licensing payments are made to BeiGene in accordance with the resulting amendment. In the event the license is terminated, the liability will be extinguished with no further payment to BeiGene.</w:t>
      </w:r>
    </w:p>
    <w:p>
      <w:pPr>
        <w:pStyle w:val="TextBody"/>
        <w:bidi w:val="0"/>
        <w:spacing w:before="216" w:after="283"/>
        <w:jc w:val="left"/>
        <w:rPr>
          <w:rFonts w:ascii="Times New Roman" w:hAnsi="Times New Roman"/>
          <w:sz w:val="20"/>
        </w:rPr>
      </w:pPr>
      <w:r>
        <w:rPr>
          <w:rFonts w:ascii="Times New Roman" w:hAnsi="Times New Roman"/>
          <w:color w:val="000000"/>
          <w:sz w:val="18"/>
        </w:rPr>
        <w:t>The Company did not recognize any revenue related to the collaboration agreement with BeiGene for the years ended December 31, 2023 and 2022. The Company had a $19.8</w:t>
      </w:r>
      <w:r>
        <w:rPr>
          <w:rFonts w:ascii="Times New Roman" w:hAnsi="Times New Roman"/>
          <w:color w:val="000000"/>
          <w:sz w:val="20"/>
        </w:rPr>
        <w:t xml:space="preserve"> </w:t>
      </w:r>
      <w:r>
        <w:rPr>
          <w:rFonts w:ascii="Times New Roman" w:hAnsi="Times New Roman"/>
          <w:color w:val="000000"/>
          <w:sz w:val="18"/>
        </w:rPr>
        <w:t>million Liability to Licensor as of December 31, 2023 and 2022.</w:t>
        <w:br/>
      </w:r>
      <w:r>
        <w:rPr>
          <w:rFonts w:ascii="Times New Roman" w:hAnsi="Times New Roman"/>
          <w:color w:val="000000"/>
          <w:sz w:val="20"/>
        </w:rPr>
        <w:t>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Collaboration and Supply Agreement with Bristol-Myers Squib</w:t>
      </w:r>
    </w:p>
    <w:p>
      <w:pPr>
        <w:pStyle w:val="TextBody"/>
        <w:bidi w:val="0"/>
        <w:spacing w:before="108" w:after="283"/>
        <w:jc w:val="left"/>
        <w:rPr>
          <w:rFonts w:ascii="Times New Roman" w:hAnsi="Times New Roman"/>
          <w:sz w:val="20"/>
        </w:rPr>
      </w:pPr>
      <w:r>
        <w:rPr>
          <w:rFonts w:ascii="Times New Roman" w:hAnsi="Times New Roman"/>
          <w:color w:val="000000"/>
          <w:sz w:val="18"/>
        </w:rPr>
        <w:t>In January 2022, the Company and Bristol-Myers Squibb Company (“BMS”) entered into a clinical trial collaboration and supply agreement (the “BMS Agreement”). Under the terms of the BMS Agreement, BioAtla and BMS will collaborate on clinical trials of separate combination therapies using two of BioAtla’s Conditionally Active Biologic Antibody Drug Conjugates, mecbotamab vedotin (BA3011) and ozuriftamab vedotin (BA3021), each in combination with Opdivo® (nivolumab), BMS’ proprietary anti-PD-1 monoclonal antibody product. The Company will serve as the study sponsor of the scheduled studies and will be responsible for costs associated with the trial execution. BMS will provide Opdivo® clinical drug supply at no cost for the combination study trials. After the completion of the combination therapy trials, the Company is obligated to provide BMS with a final report of the data resulting from the trial. The BMS Agreement was amended in October 2022 to include additional territories for our mecbotamab vedotin and ozuriftamab vedotin combination study trials. There was no impact to the Company's financial results for the years ended December 31, 2023 or 2022 as a result of this agreement.</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8. Related party transactions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Inversagen, LLC</w:t>
      </w:r>
    </w:p>
    <w:p>
      <w:pPr>
        <w:pStyle w:val="TextBody"/>
        <w:bidi w:val="0"/>
        <w:spacing w:before="108" w:after="283"/>
        <w:jc w:val="left"/>
        <w:rPr>
          <w:rFonts w:ascii="Times New Roman" w:hAnsi="Times New Roman"/>
          <w:sz w:val="20"/>
        </w:rPr>
      </w:pPr>
      <w:r>
        <w:rPr>
          <w:rFonts w:ascii="Times New Roman" w:hAnsi="Times New Roman"/>
          <w:color w:val="000000"/>
          <w:sz w:val="18"/>
        </w:rPr>
        <w:t>On March 15, 2019, the Company entered into an Exclusive License Agreement with Inversagen (the “Inversagen License”). Under the terms of the agreement, Inversagen acquired the rights to CAB-antibodies for the field of diseases associated with aging, outside of cancer, and an immuno-oncology antibody. The Company may perform development services under the agreement and will be reimbursed by Inversagen for its costs. Commencing on the first commercial sale of the CAB-antibodies and immuno-oncology antibody subject to the Inversagen License, Inversagen will pay the Company milestone payments and royalties, which represent a variable interest held by the Company. On July 7, 2020, the Company and Inversagen entered into the First Amendment to Exclusive License Agreement (“Amended Inversagen License”), which grants the Company an option for a period of 10 years</w:t>
      </w:r>
      <w:r>
        <w:rPr>
          <w:rFonts w:ascii="Times New Roman" w:hAnsi="Times New Roman"/>
          <w:color w:val="000000"/>
          <w:sz w:val="20"/>
        </w:rPr>
        <w:t xml:space="preserve"> </w:t>
      </w:r>
      <w:r>
        <w:rPr>
          <w:rFonts w:ascii="Times New Roman" w:hAnsi="Times New Roman"/>
          <w:color w:val="000000"/>
          <w:sz w:val="18"/>
        </w:rPr>
        <w:t>to acquire the immuno-oncology antibody in return for royalty payments in the low-single digits during the applicable royalty term. No</w:t>
      </w:r>
      <w:r>
        <w:rPr>
          <w:rFonts w:ascii="Times New Roman" w:hAnsi="Times New Roman"/>
          <w:color w:val="000000"/>
          <w:sz w:val="20"/>
        </w:rPr>
        <w:t xml:space="preserve"> </w:t>
      </w:r>
      <w:r>
        <w:rPr>
          <w:rFonts w:ascii="Times New Roman" w:hAnsi="Times New Roman"/>
          <w:color w:val="000000"/>
          <w:sz w:val="18"/>
        </w:rPr>
        <w:t>payments have been made to date.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Inversagen has only nominal assets and liabilities and is a VIE as the entity lacks sufficient equity to finance its activities without additional subordinated financial support. The Company does not consolidate Inversagen as it is not the primary beneficiary; the Inversagen License and the Amended Inversagen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Inversagen, and no exposure to its losses. The Company has not provided any services to Inversagen, has not provided any support to Inversagen and has no obligation to do so, and Inversagen’s creditors have no recourse to the general credit of the Company. The Company does not have any assets or liabilities associated with its variable interest in Inversagen at December 31, 2023 and 2022.</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Inversagen is a related party of the Company. Dr. Jay Short and his spouse serve as managers of Inversagen.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BioAtla Holdings, LLC</w:t>
      </w:r>
    </w:p>
    <w:p>
      <w:pPr>
        <w:pStyle w:val="TextBody"/>
        <w:bidi w:val="0"/>
        <w:spacing w:before="108" w:after="283"/>
        <w:jc w:val="left"/>
        <w:rPr>
          <w:rFonts w:ascii="Times New Roman" w:hAnsi="Times New Roman"/>
          <w:sz w:val="20"/>
        </w:rPr>
      </w:pPr>
      <w:r>
        <w:rPr>
          <w:rFonts w:ascii="Times New Roman" w:hAnsi="Times New Roman"/>
          <w:color w:val="000000"/>
          <w:sz w:val="18"/>
        </w:rPr>
        <w:t>Effective January 1, 2020, the Company entered into an Exclusive License Agreement (the “BioAtla Holdings License”) with BioAtla Holdings, LLC. Under the terms of the agreement, BioAtla Holdings acquired the rights to CAB antibodies for certain targets in the field of Adoptive Cell Therapy (CAR-T format) in exchange for potential royalty payments on future net sales. On July 7, 2020, the Company and BioAtla Holdings entered into the First Amendment to Exclusive License Agreement (the “Amended BioAtla Holdings License”), which grants the Company an option for a period of 10</w:t>
      </w:r>
      <w:r>
        <w:rPr>
          <w:rFonts w:ascii="Times New Roman" w:hAnsi="Times New Roman"/>
          <w:color w:val="000000"/>
          <w:sz w:val="20"/>
        </w:rPr>
        <w:t xml:space="preserve"> </w:t>
      </w:r>
      <w:r>
        <w:rPr>
          <w:rFonts w:ascii="Times New Roman" w:hAnsi="Times New Roman"/>
          <w:color w:val="000000"/>
          <w:sz w:val="18"/>
        </w:rPr>
        <w:t>years to acquire the ACT Preparations and ACT Treatments in return for royalty payments in the low-single digits during the applicable royalty term. The Company has not exercised its option and no payments have been made to date under these agreements.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effective January 1, 2020, the Company entered into a Royalty Sharing Agreement whereby the Company agreed to share with BioAtla Holdings 50% of the royalties it receives from its Exclusive License Agreement with EXUMA Biotech Corp.</w:t>
      </w:r>
    </w:p>
    <w:p>
      <w:pPr>
        <w:pStyle w:val="TextBody"/>
        <w:bidi w:val="0"/>
        <w:spacing w:before="216" w:after="283"/>
        <w:jc w:val="left"/>
        <w:rPr>
          <w:rFonts w:ascii="Times New Roman" w:hAnsi="Times New Roman"/>
          <w:sz w:val="20"/>
        </w:rPr>
      </w:pPr>
      <w:r>
        <w:rPr>
          <w:rFonts w:ascii="Times New Roman" w:hAnsi="Times New Roman"/>
          <w:color w:val="000000"/>
          <w:sz w:val="18"/>
        </w:rPr>
        <w:t>BioAtla Holdings is a variable interest entity as it does not have sufficient equity to finance its activities without additional subordinated financial support. The royalty payments and option to acquire assets represent variable interests held by the Company in BioAtla Holdings. The Company is not the primary beneficiary of BioAtla Holdings, however, as the BioAtla Holdings License and Amended BioAtla Holdings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BioAtla Holdings, and no exposure to its losses. BioAtla Holdings is currently inactive, and the Company has not provided any support to BioAtla Holdings and has no obligation to do so, and BioAtla Holdings’ creditors have no recourse to the general credit of the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Company. The Company does not have any assets or liabilities associated with its variable interests in BioAtla Holdings at December 31, 2023 and 2022.</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BioAtla Holdings is a related party of the Company. Dr. Jay Short and his spouse serve as managers of BioAtla Holdings.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Himalaya Therapeutics SEZC</w:t>
      </w:r>
    </w:p>
    <w:p>
      <w:pPr>
        <w:pStyle w:val="TextBody"/>
        <w:bidi w:val="0"/>
        <w:spacing w:before="108" w:after="283"/>
        <w:jc w:val="left"/>
        <w:rPr>
          <w:rFonts w:ascii="Times New Roman" w:hAnsi="Times New Roman"/>
          <w:i/>
          <w:color w:val="000000"/>
          <w:sz w:val="18"/>
        </w:rPr>
      </w:pPr>
      <w:r>
        <w:rPr>
          <w:rFonts w:ascii="Times New Roman" w:hAnsi="Times New Roman"/>
          <w:i/>
          <w:color w:val="000000"/>
          <w:sz w:val="18"/>
        </w:rPr>
        <w:t>Exclusive Rights Agreement</w:t>
      </w:r>
    </w:p>
    <w:p>
      <w:pPr>
        <w:pStyle w:val="TextBody"/>
        <w:bidi w:val="0"/>
        <w:spacing w:before="108" w:after="283"/>
        <w:jc w:val="left"/>
        <w:rPr>
          <w:rFonts w:ascii="Times New Roman" w:hAnsi="Times New Roman"/>
          <w:sz w:val="20"/>
        </w:rPr>
      </w:pPr>
      <w:r>
        <w:rPr>
          <w:rFonts w:ascii="Times New Roman" w:hAnsi="Times New Roman"/>
          <w:color w:val="000000"/>
          <w:sz w:val="18"/>
        </w:rPr>
        <w:t>On January 1, 2020, the Company entered into an Amended and Restated Exclusive Rights Agreement (the “Amended Rights Agreement”) with Himalaya Therapeutics SEZC. Under the terms of the Amended Rights Agreement, Himalaya Therapeutics SEZC acquired the rights to 10 CAB-antibodies for the territory of China, Macao, Hong Kong and Taiwan, global rights to a CAB-HER2-bispecific-antibody and global co-development rights with the Company to an IL-22 non-CAB-antibody. Payments to the Company may include upfront payments, milestone payments and double digit royalties, which represent a variable interest held by the Company, but no</w:t>
      </w:r>
      <w:r>
        <w:rPr>
          <w:rFonts w:ascii="Times New Roman" w:hAnsi="Times New Roman"/>
          <w:color w:val="000000"/>
          <w:sz w:val="20"/>
        </w:rPr>
        <w:t xml:space="preserve"> </w:t>
      </w:r>
      <w:r>
        <w:rPr>
          <w:rFonts w:ascii="Times New Roman" w:hAnsi="Times New Roman"/>
          <w:color w:val="000000"/>
          <w:sz w:val="18"/>
        </w:rPr>
        <w:t>payments have been made to the Company to date.</w:t>
      </w:r>
    </w:p>
    <w:p>
      <w:pPr>
        <w:pStyle w:val="TextBody"/>
        <w:bidi w:val="0"/>
        <w:spacing w:before="216" w:after="283"/>
        <w:jc w:val="left"/>
        <w:rPr>
          <w:rFonts w:ascii="Times New Roman" w:hAnsi="Times New Roman"/>
          <w:sz w:val="20"/>
        </w:rPr>
      </w:pPr>
      <w:r>
        <w:rPr>
          <w:rFonts w:ascii="Times New Roman" w:hAnsi="Times New Roman"/>
          <w:color w:val="000000"/>
          <w:sz w:val="18"/>
        </w:rPr>
        <w:t>Himalaya Therapeutics SEZC is a VIE as it does not have sufficient equity to finance its activities without additional subordinated financial support. The Company is not obligated to provide financial support to Himalaya Therapeutics SEZC. The Company is not the primary beneficiary of Himalaya Therapeutics SEZC, however, as the Amended Rights Agreement does not provide BioAtla, Inc. with the power to direct activities of a VIE that most significantly impact the VIE’s economic performance, such as decision-making power over the direction of its development efforts or the search for or terms of any future financing arrangements. The Company does not have any assets or liabilities recorded at December 31, 2023 associated with its variable interest in Himalaya Therapeutics SEZC, and has no exposure to Himalaya Therapeutics SEZC losses.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Himalaya Therapeutics SEZC is a related party as Dr. Jay Short and his spouse serve as directors, and Dr. Short's spouse also serves as an officer of such entity.</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Clinical Trial Services Agreement</w:t>
      </w:r>
    </w:p>
    <w:p>
      <w:pPr>
        <w:pStyle w:val="TextBody"/>
        <w:bidi w:val="0"/>
        <w:spacing w:before="108" w:after="283"/>
        <w:jc w:val="left"/>
        <w:rPr>
          <w:rFonts w:ascii="Times New Roman" w:hAnsi="Times New Roman"/>
          <w:sz w:val="20"/>
        </w:rPr>
      </w:pPr>
      <w:r>
        <w:rPr>
          <w:rFonts w:ascii="Times New Roman" w:hAnsi="Times New Roman"/>
          <w:color w:val="000000"/>
          <w:sz w:val="18"/>
        </w:rPr>
        <w:t>In April 2022, the Company entered into a Clinical Trial Agreement with Himalaya Therapeutics SEZC. Under the agreement, Himalaya Therapeutics SEZC agreed to provide services related to the initiation of clinical trials for mecbotamab vedotin in the People’s Republic of China. For the first year following effectiveness of the agreement, the Company has agreed to pay Himalaya Therapeutics SEZC for the full-time use of two of its personnel. Payments were due and payable by BioAtla to Himalaya Therapeutics SEZC on a quarterly calendar basis and are non-refundable. The Company made its final payment under the agreement in January 2023. For the twelve months ended December 31, 2023 and 2022, the Company recognized $0.1 million and $0.4 million in research and development expense related to the Clinical Trial Agreement, respectively. The Company did not have any amounts due from or due to Himalaya Therapeutics SEZC as of December 31, 2023.</w:t>
      </w:r>
      <w:r>
        <w:rPr>
          <w:rFonts w:ascii="Times New Roman" w:hAnsi="Times New Roman"/>
          <w:color w:val="000000"/>
          <w:sz w:val="20"/>
        </w:rPr>
        <w:t xml:space="preserve"> </w:t>
      </w:r>
      <w:r>
        <w:rPr>
          <w:rFonts w:ascii="Times New Roman" w:hAnsi="Times New Roman"/>
          <w:color w:val="000000"/>
          <w:sz w:val="18"/>
        </w:rPr>
        <w:t>In January 2024, the Clinical Trial Agreement was amended to extend the agreement for 12</w:t>
      </w:r>
      <w:r>
        <w:rPr>
          <w:rFonts w:ascii="Times New Roman" w:hAnsi="Times New Roman"/>
          <w:color w:val="000000"/>
          <w:sz w:val="20"/>
        </w:rPr>
        <w:t xml:space="preserve"> </w:t>
      </w:r>
      <w:r>
        <w:rPr>
          <w:rFonts w:ascii="Times New Roman" w:hAnsi="Times New Roman"/>
          <w:color w:val="000000"/>
          <w:sz w:val="18"/>
        </w:rPr>
        <w:t>additional months. Under the amended agreement, BioAtla will pay Himalaya Therapeutics SEZC for the full-time use of two of its personnel and provide services related to the initiation of clinical trials for evalstotug in China.</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Himalaya Parent LLC</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Dr. Jay Short and his spouse serve as managers of Himalaya Parent LLC. The Company does not have a variable interest in Himalaya Parent LLC.</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November 2022 Underwritten Offering</w:t>
      </w:r>
    </w:p>
    <w:p>
      <w:pPr>
        <w:pStyle w:val="TextBody"/>
        <w:bidi w:val="0"/>
        <w:spacing w:before="108" w:after="283"/>
        <w:jc w:val="left"/>
        <w:rPr>
          <w:rFonts w:ascii="Times New Roman" w:hAnsi="Times New Roman"/>
          <w:sz w:val="20"/>
        </w:rPr>
      </w:pPr>
      <w:r>
        <w:rPr>
          <w:rFonts w:ascii="Times New Roman" w:hAnsi="Times New Roman"/>
          <w:color w:val="000000"/>
          <w:sz w:val="18"/>
        </w:rPr>
        <w:t>As part of the 2022 underwritten offering, the Company issued 2,998,500</w:t>
      </w:r>
      <w:r>
        <w:rPr>
          <w:rFonts w:ascii="Times New Roman" w:hAnsi="Times New Roman"/>
          <w:color w:val="000000"/>
          <w:sz w:val="20"/>
        </w:rPr>
        <w:t xml:space="preserve"> </w:t>
      </w:r>
      <w:r>
        <w:rPr>
          <w:rFonts w:ascii="Times New Roman" w:hAnsi="Times New Roman"/>
          <w:color w:val="000000"/>
          <w:sz w:val="18"/>
        </w:rPr>
        <w:t>shares of common stock for total net proceeds of $19.1</w:t>
      </w:r>
      <w:r>
        <w:rPr>
          <w:rFonts w:ascii="Times New Roman" w:hAnsi="Times New Roman"/>
          <w:color w:val="000000"/>
          <w:sz w:val="20"/>
        </w:rPr>
        <w:t xml:space="preserve"> </w:t>
      </w:r>
      <w:r>
        <w:rPr>
          <w:rFonts w:ascii="Times New Roman" w:hAnsi="Times New Roman"/>
          <w:color w:val="000000"/>
          <w:sz w:val="18"/>
        </w:rPr>
        <w:t>million to certain stockholders considered to be related parties.</w:t>
      </w:r>
    </w:p>
    <w:p>
      <w:pPr>
        <w:pStyle w:val="TextBody"/>
        <w:bidi w:val="0"/>
        <w:spacing w:before="210" w:after="283"/>
        <w:jc w:val="left"/>
        <w:rPr>
          <w:rFonts w:ascii="Times New Roman" w:hAnsi="Times New Roman"/>
          <w:b/>
          <w:color w:val="000000"/>
          <w:sz w:val="18"/>
        </w:rPr>
      </w:pPr>
      <w:r>
        <w:rPr>
          <w:rFonts w:ascii="Times New Roman" w:hAnsi="Times New Roman"/>
          <w:b/>
          <w:color w:val="000000"/>
          <w:sz w:val="18"/>
        </w:rPr>
        <w:t>9. 401(k) plan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10. Income taxes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reconciliation of income tax expense computed at the U.S. federal statutory income tax rate to the Company’s income tax expense is as follows (in thousands):</w:t>
      </w:r>
    </w:p>
    <w:p>
      <w:pPr>
        <w:pStyle w:val="TextBody"/>
        <w:bidi w:val="0"/>
        <w:jc w:val="left"/>
        <w:rPr/>
      </w:pPr>
      <w:r>
        <w:rPr/>
        <w:t> </w:t>
      </w:r>
    </w:p>
    <w:tbl>
      <w:tblPr>
        <w:tblW w:w="6279" w:type="dxa"/>
        <w:jc w:val="left"/>
        <w:tblInd w:w="0" w:type="dxa"/>
        <w:tblLayout w:type="fixed"/>
        <w:tblCellMar>
          <w:top w:w="28" w:type="dxa"/>
          <w:left w:w="28" w:type="dxa"/>
          <w:bottom w:w="28" w:type="dxa"/>
          <w:right w:w="28" w:type="dxa"/>
        </w:tblCellMar>
      </w:tblPr>
      <w:tblGrid>
        <w:gridCol w:w="3736"/>
        <w:gridCol w:w="146"/>
        <w:gridCol w:w="211"/>
        <w:gridCol w:w="714"/>
        <w:gridCol w:w="179"/>
        <w:gridCol w:w="157"/>
        <w:gridCol w:w="211"/>
        <w:gridCol w:w="714"/>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computed at the federal statutory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(25,927</w:t>
            </w:r>
          </w:p>
        </w:tc>
        <w:tc>
          <w:tcPr>
            <w:tcW w:w="17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(22,361</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State income taxes, net of federal tax benefit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7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Nondeductible executive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w:t>
            </w:r>
          </w:p>
        </w:tc>
        <w:tc>
          <w:tcPr>
            <w:tcW w:w="21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w:t>
            </w:r>
          </w:p>
        </w:tc>
        <w:tc>
          <w:tcPr>
            <w:tcW w:w="21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and orphan drug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(6,205</w:t>
            </w:r>
          </w:p>
        </w:tc>
        <w:tc>
          <w:tcPr>
            <w:tcW w:w="17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(3,692</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Uncertain tax positions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1,551</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21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The Company’s net deferred tax assets (liabilities) are as follows (in thousands):</w:t>
      </w:r>
    </w:p>
    <w:tbl>
      <w:tblPr>
        <w:tblW w:w="5434" w:type="dxa"/>
        <w:jc w:val="left"/>
        <w:tblInd w:w="0" w:type="dxa"/>
        <w:tblLayout w:type="fixed"/>
        <w:tblCellMar>
          <w:top w:w="28" w:type="dxa"/>
          <w:left w:w="28" w:type="dxa"/>
          <w:bottom w:w="28" w:type="dxa"/>
          <w:right w:w="28" w:type="dxa"/>
        </w:tblCellMar>
      </w:tblPr>
      <w:tblGrid>
        <w:gridCol w:w="2691"/>
        <w:gridCol w:w="146"/>
        <w:gridCol w:w="211"/>
        <w:gridCol w:w="714"/>
        <w:gridCol w:w="179"/>
        <w:gridCol w:w="157"/>
        <w:gridCol w:w="211"/>
        <w:gridCol w:w="714"/>
        <w:gridCol w:w="411"/>
      </w:tblGrid>
      <w:tr>
        <w:trPr/>
        <w:tc>
          <w:tcPr>
            <w:tcW w:w="2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CFF0FC" w:val="clear"/>
            <w:vAlign w:val="center"/>
          </w:tcPr>
          <w:p>
            <w:pPr>
              <w:pStyle w:val="TableContents"/>
              <w:bidi w:val="0"/>
              <w:spacing w:before="0" w:after="283"/>
              <w:jc w:val="left"/>
              <w:rPr/>
            </w:pPr>
            <w:r>
              <w:rPr/>
              <w:t> </w:t>
            </w:r>
          </w:p>
        </w:tc>
        <w:tc>
          <w:tcPr>
            <w:tcW w:w="925" w:type="dxa"/>
            <w:gridSpan w:val="2"/>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925"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25,034</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Liability to licensor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4,159</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2,938</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credit carryforwards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10,379</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Section 174 cost capitalization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31,220</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14,523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Section 59(e) cost capitalization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8,400</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86,187</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57,641</w:t>
            </w:r>
          </w:p>
        </w:tc>
        <w:tc>
          <w:tcPr>
            <w:tcW w:w="411" w:type="dxa"/>
            <w:tcBorders/>
            <w:shd w:fill="FFFFFF" w:val="clear"/>
            <w:vAlign w:val="center"/>
          </w:tcPr>
          <w:p>
            <w:pPr>
              <w:pStyle w:val="TableContents"/>
              <w:bidi w:val="0"/>
              <w:spacing w:before="0" w:after="283"/>
              <w:jc w:val="left"/>
              <w:rPr/>
            </w:pPr>
            <w:r>
              <w:rPr/>
              <w:t> </w:t>
            </w:r>
          </w:p>
        </w:tc>
      </w:tr>
      <w:tr>
        <w:trPr/>
        <w:tc>
          <w:tcPr>
            <w:tcW w:w="26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(85,642</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CFF0FC" w:val="clear"/>
            <w:vAlign w:val="center"/>
          </w:tcPr>
          <w:p>
            <w:pPr>
              <w:pStyle w:val="TableContents"/>
              <w:bidi w:val="0"/>
              <w:spacing w:before="0" w:after="283"/>
              <w:jc w:val="left"/>
              <w:rPr/>
            </w:pPr>
            <w:r>
              <w:rPr/>
              <w:t> </w:t>
            </w:r>
          </w:p>
        </w:tc>
        <w:tc>
          <w:tcPr>
            <w:tcW w:w="925" w:type="dxa"/>
            <w:gridSpan w:val="2"/>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925"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Fixed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7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deferred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 valuation allowance of approximately $85.6</w:t>
      </w:r>
      <w:r>
        <w:rPr>
          <w:rFonts w:ascii="Times New Roman" w:hAnsi="Times New Roman"/>
          <w:color w:val="000000"/>
          <w:sz w:val="20"/>
        </w:rPr>
        <w:t xml:space="preserve"> </w:t>
      </w:r>
      <w:r>
        <w:rPr>
          <w:rFonts w:ascii="Times New Roman" w:hAnsi="Times New Roman"/>
          <w:color w:val="000000"/>
          <w:sz w:val="18"/>
        </w:rPr>
        <w:t>million as of December 31, 2023</w:t>
      </w:r>
      <w:r>
        <w:rPr>
          <w:rFonts w:ascii="Times New Roman" w:hAnsi="Times New Roman"/>
          <w:color w:val="000000"/>
          <w:sz w:val="20"/>
        </w:rPr>
        <w:t xml:space="preserve"> </w:t>
      </w:r>
      <w:r>
        <w:rPr>
          <w:rFonts w:ascii="Times New Roman" w:hAnsi="Times New Roman"/>
          <w:color w:val="000000"/>
          <w:sz w:val="18"/>
        </w:rPr>
        <w:t>has been established to offset the deferred tax assets as the Company has determined that it is not more likely than not that these assets will be realized. The valuation allowance increased by approximately $28.9</w:t>
      </w:r>
      <w:r>
        <w:rPr>
          <w:rFonts w:ascii="Times New Roman" w:hAnsi="Times New Roman"/>
          <w:color w:val="000000"/>
          <w:sz w:val="20"/>
        </w:rPr>
        <w:t xml:space="preserve"> </w:t>
      </w:r>
      <w:r>
        <w:rPr>
          <w:rFonts w:ascii="Times New Roman" w:hAnsi="Times New Roman"/>
          <w:color w:val="000000"/>
          <w:sz w:val="18"/>
        </w:rPr>
        <w:t>million during 2023.</w:t>
      </w:r>
    </w:p>
    <w:p>
      <w:pPr>
        <w:pStyle w:val="TextBody"/>
        <w:bidi w:val="0"/>
        <w:spacing w:before="216" w:after="283"/>
        <w:jc w:val="left"/>
        <w:rPr>
          <w:rFonts w:ascii="Times New Roman" w:hAnsi="Times New Roman"/>
          <w:sz w:val="20"/>
        </w:rPr>
      </w:pPr>
      <w:r>
        <w:rPr>
          <w:rFonts w:ascii="Times New Roman" w:hAnsi="Times New Roman"/>
          <w:color w:val="000000"/>
          <w:sz w:val="18"/>
        </w:rPr>
        <w:t>At December 31, 2023, the Company had federal and state net operating loss carryforwards of approximately $119.2</w:t>
      </w:r>
      <w:r>
        <w:rPr>
          <w:rFonts w:ascii="Times New Roman" w:hAnsi="Times New Roman"/>
          <w:color w:val="000000"/>
          <w:sz w:val="20"/>
        </w:rPr>
        <w:t xml:space="preserve"> </w:t>
      </w:r>
      <w:r>
        <w:rPr>
          <w:rFonts w:ascii="Times New Roman" w:hAnsi="Times New Roman"/>
          <w:color w:val="000000"/>
          <w:sz w:val="18"/>
        </w:rPr>
        <w:t>million and $0.2</w:t>
      </w:r>
      <w:r>
        <w:rPr>
          <w:rFonts w:ascii="Times New Roman" w:hAnsi="Times New Roman"/>
          <w:color w:val="000000"/>
          <w:sz w:val="20"/>
        </w:rPr>
        <w:t xml:space="preserve"> </w:t>
      </w:r>
      <w:r>
        <w:rPr>
          <w:rFonts w:ascii="Times New Roman" w:hAnsi="Times New Roman"/>
          <w:color w:val="000000"/>
          <w:sz w:val="18"/>
        </w:rPr>
        <w:t>million, respectively. The federal and state net operating losses can be carried forward indefinitely, subject to an 80% limitation against taxable income. The state net operating losses will begin to expire in 2042, unless previously utilized.</w:t>
      </w:r>
    </w:p>
    <w:p>
      <w:pPr>
        <w:pStyle w:val="TextBody"/>
        <w:bidi w:val="0"/>
        <w:spacing w:before="216" w:after="283"/>
        <w:jc w:val="left"/>
        <w:rPr>
          <w:rFonts w:ascii="Times New Roman" w:hAnsi="Times New Roman"/>
          <w:sz w:val="20"/>
        </w:rPr>
      </w:pPr>
      <w:r>
        <w:rPr>
          <w:rFonts w:ascii="Times New Roman" w:hAnsi="Times New Roman"/>
          <w:color w:val="000000"/>
          <w:sz w:val="18"/>
        </w:rPr>
        <w:t>At December 31, 2023, the Company had federal and California research and development credit carryforwards of approximately $7.8</w:t>
      </w:r>
      <w:r>
        <w:rPr>
          <w:rFonts w:ascii="Times New Roman" w:hAnsi="Times New Roman"/>
          <w:color w:val="000000"/>
          <w:sz w:val="20"/>
        </w:rPr>
        <w:t xml:space="preserve"> </w:t>
      </w:r>
      <w:r>
        <w:rPr>
          <w:rFonts w:ascii="Times New Roman" w:hAnsi="Times New Roman"/>
          <w:color w:val="000000"/>
          <w:sz w:val="18"/>
        </w:rPr>
        <w:t>million and $2.7</w:t>
      </w:r>
      <w:r>
        <w:rPr>
          <w:rFonts w:ascii="Times New Roman" w:hAnsi="Times New Roman"/>
          <w:color w:val="000000"/>
          <w:sz w:val="20"/>
        </w:rPr>
        <w:t xml:space="preserve"> </w:t>
      </w:r>
      <w:r>
        <w:rPr>
          <w:rFonts w:ascii="Times New Roman" w:hAnsi="Times New Roman"/>
          <w:color w:val="000000"/>
          <w:sz w:val="18"/>
        </w:rPr>
        <w:t>million, respectively. The federal credit carryforwards will begin to expire in 2040, unless previously utilized. The California credits will carry forward indefinitely.</w:t>
      </w:r>
    </w:p>
    <w:p>
      <w:pPr>
        <w:pStyle w:val="TextBody"/>
        <w:bidi w:val="0"/>
        <w:spacing w:before="216" w:after="283"/>
        <w:jc w:val="left"/>
        <w:rPr>
          <w:rFonts w:ascii="Times New Roman" w:hAnsi="Times New Roman"/>
          <w:sz w:val="20"/>
        </w:rPr>
      </w:pPr>
      <w:r>
        <w:rPr>
          <w:rFonts w:ascii="Times New Roman" w:hAnsi="Times New Roman"/>
          <w:color w:val="000000"/>
          <w:sz w:val="18"/>
        </w:rPr>
        <w:t>At December 31, 2023, the Company also had federal orphan drug credit carryforwards of approximately $3.9</w:t>
      </w:r>
      <w:r>
        <w:rPr>
          <w:rFonts w:ascii="Times New Roman" w:hAnsi="Times New Roman"/>
          <w:color w:val="000000"/>
          <w:sz w:val="20"/>
        </w:rPr>
        <w:t xml:space="preserve"> </w:t>
      </w:r>
      <w:r>
        <w:rPr>
          <w:rFonts w:ascii="Times New Roman" w:hAnsi="Times New Roman"/>
          <w:color w:val="000000"/>
          <w:sz w:val="18"/>
        </w:rPr>
        <w:t>million. The orphan drug credit carryforwards will begin to expire in 2041, unless previously utilized.</w:t>
      </w:r>
    </w:p>
    <w:p>
      <w:pPr>
        <w:pStyle w:val="TextBody"/>
        <w:bidi w:val="0"/>
        <w:spacing w:before="216" w:after="283"/>
        <w:jc w:val="left"/>
        <w:rPr>
          <w:rFonts w:ascii="Times New Roman" w:hAnsi="Times New Roman"/>
          <w:sz w:val="20"/>
        </w:rPr>
      </w:pPr>
      <w:r>
        <w:rPr>
          <w:rFonts w:ascii="Times New Roman" w:hAnsi="Times New Roman"/>
          <w:color w:val="000000"/>
          <w:sz w:val="18"/>
        </w:rPr>
        <w:t>Pursuant to Internal Revenue Code (“IRC”) Sections 382 and 383, annual use of the Company’s net operating loss carryforwards may be limited in the event a cumulative change in ownership of more than 50% occurs within a three-year period.</w:t>
      </w:r>
      <w:r>
        <w:rPr>
          <w:rFonts w:ascii="Times New Roman" w:hAnsi="Times New Roman"/>
          <w:color w:val="000000"/>
          <w:sz w:val="20"/>
        </w:rPr>
        <w:t xml:space="preserve"> </w:t>
      </w:r>
      <w:r>
        <w:rPr>
          <w:rFonts w:ascii="Times New Roman" w:hAnsi="Times New Roman"/>
          <w:color w:val="000000"/>
          <w:sz w:val="18"/>
        </w:rPr>
        <w:t>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restricted or eliminated. Further, the Company’s deferred tax assets associated with such tax attributes could be significantly reduced upon realization of an ownership change within the meaning of IRC Section 382.</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Under the FASB's accounting guidance related to income tax positions, among other things,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the guidance provides further clarification on derecognition, classification, interest and penalties, accounting in interim period, disclosure and transition. The Company regularly evaluates the likelihood of recognizing the benefit for income tax positions taken in various federal and state filings by considering all relevant facts, circumstances, and information available.</w:t>
      </w:r>
    </w:p>
    <w:p>
      <w:pPr>
        <w:pStyle w:val="TextBody"/>
        <w:bidi w:val="0"/>
        <w:spacing w:before="216" w:after="240"/>
        <w:jc w:val="left"/>
        <w:rPr>
          <w:rFonts w:ascii="Times New Roman" w:hAnsi="Times New Roman"/>
          <w:color w:val="000000"/>
          <w:sz w:val="18"/>
        </w:rPr>
      </w:pPr>
      <w:r>
        <w:rPr>
          <w:rFonts w:ascii="Times New Roman" w:hAnsi="Times New Roman"/>
          <w:color w:val="000000"/>
          <w:sz w:val="18"/>
        </w:rPr>
        <w:t>A reconciliation of the beginning and ending unrecognized tax benefit amount is as follows (in thousands):</w:t>
      </w:r>
    </w:p>
    <w:tbl>
      <w:tblPr>
        <w:tblW w:w="6286" w:type="dxa"/>
        <w:jc w:val="left"/>
        <w:tblInd w:w="0" w:type="dxa"/>
        <w:tblLayout w:type="fixed"/>
        <w:tblCellMar>
          <w:top w:w="28" w:type="dxa"/>
          <w:left w:w="28" w:type="dxa"/>
          <w:bottom w:w="28" w:type="dxa"/>
          <w:right w:w="28" w:type="dxa"/>
        </w:tblCellMar>
      </w:tblPr>
      <w:tblGrid>
        <w:gridCol w:w="3561"/>
        <w:gridCol w:w="146"/>
        <w:gridCol w:w="251"/>
        <w:gridCol w:w="656"/>
        <w:gridCol w:w="187"/>
        <w:gridCol w:w="187"/>
        <w:gridCol w:w="251"/>
        <w:gridCol w:w="656"/>
        <w:gridCol w:w="391"/>
      </w:tblGrid>
      <w:tr>
        <w:trPr/>
        <w:tc>
          <w:tcPr>
            <w:tcW w:w="3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Unrecognized tax benefits - beginning</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1,968</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Gross increases - tax positions in prior period</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Gross increase – current-period tax positions</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Unrecognized tax benefits - ending</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3,602</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sz w:val="20"/>
        </w:rPr>
      </w:pPr>
      <w:r>
        <w:rPr>
          <w:rFonts w:ascii="Times New Roman" w:hAnsi="Times New Roman"/>
          <w:color w:val="000000"/>
          <w:sz w:val="18"/>
        </w:rPr>
        <w:t>As of December 31, 2023, the Company had gross unrecognized tax benefits of approximately $3.6</w:t>
      </w:r>
      <w:r>
        <w:rPr>
          <w:rFonts w:ascii="Times New Roman" w:hAnsi="Times New Roman"/>
          <w:color w:val="000000"/>
          <w:sz w:val="20"/>
        </w:rPr>
        <w:t xml:space="preserve"> </w:t>
      </w:r>
      <w:r>
        <w:rPr>
          <w:rFonts w:ascii="Times New Roman" w:hAnsi="Times New Roman"/>
          <w:color w:val="000000"/>
          <w:sz w:val="18"/>
        </w:rPr>
        <w:t>million, none of which would affect the Company’s effective tax rate due to the existence of the valuation allowance. The Company’s policy is to recognize interest and penalties related to income tax matters in income tax expense. The Company had no accrual for interest or penalties on the Company’s balance sheet and has not recognized interest or penalties in the statements of operations and comprehensive income for the year ended December 31, 2023. The Company does not anticipate a significant change to its liability for unrecognized tax benefits within the next twelve months.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is subject to taxation in the United States and various state jurisdictions. The Company is subject to examination by tax authorities in those jurisdictions since 2020 and 2019, respectively, and forward. However, to the extent allowed by law, the taxing authorities may have the right to examine periods where NOLs and research and development credits were generated and carried forward, and make adjustments to the amount of the NOL and research credits carryforward amount. The Company is not currently under examination by any jurisdiction.</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11. Subsequent events</w:t>
      </w:r>
    </w:p>
    <w:p>
      <w:pPr>
        <w:pStyle w:val="TextBody"/>
        <w:bidi w:val="0"/>
        <w:spacing w:before="108" w:after="283"/>
        <w:jc w:val="left"/>
        <w:rPr>
          <w:rFonts w:ascii="Times New Roman" w:hAnsi="Times New Roman"/>
          <w:sz w:val="20"/>
        </w:rPr>
      </w:pPr>
      <w:r>
        <w:rPr>
          <w:rFonts w:ascii="Times New Roman" w:hAnsi="Times New Roman"/>
          <w:color w:val="000000"/>
          <w:sz w:val="18"/>
        </w:rPr>
        <w:t>The Company has completed an evaluation of all subsequent events through March 26, 2024 for the financial statements as of and for the year ended December 31, 2023</w:t>
      </w:r>
      <w:r>
        <w:rPr>
          <w:rFonts w:ascii="Times New Roman" w:hAnsi="Times New Roman"/>
          <w:color w:val="000000"/>
          <w:sz w:val="20"/>
        </w:rPr>
        <w:t xml:space="preserve"> </w:t>
      </w:r>
      <w:r>
        <w:rPr>
          <w:rFonts w:ascii="Times New Roman" w:hAnsi="Times New Roman"/>
          <w:color w:val="000000"/>
          <w:sz w:val="18"/>
        </w:rPr>
        <w:t>to ensure these financial statements include appropriate disclosure of events both recognized in the financial statements and events which occurred but were not recognized in the financial statements. Except as described below or elsewhere in these financial statements, the Company has concluded that no subsequent event has occurred that requires disclosure.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0" w:after="283"/>
        <w:jc w:val="left"/>
        <w:rPr>
          <w:rFonts w:ascii="Times New Roman" w:hAnsi="Times New Roman"/>
          <w:b/>
          <w:color w:val="000000"/>
          <w:sz w:val="18"/>
        </w:rPr>
      </w:pPr>
      <w:bookmarkStart w:id="32" w:name="item_9_changes_in_and_disagreements"/>
      <w:bookmarkEnd w:id="32"/>
      <w:r>
        <w:rPr>
          <w:rFonts w:ascii="Times New Roman" w:hAnsi="Times New Roman"/>
          <w:b/>
          <w:color w:val="000000"/>
          <w:sz w:val="18"/>
        </w:rPr>
        <w:t>ITEM 9. Changes in and Disagreements with Accountants on Accounting and Financial Disclosure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None.</w:t>
      </w:r>
    </w:p>
    <w:p>
      <w:pPr>
        <w:pStyle w:val="TextBody"/>
        <w:bidi w:val="0"/>
        <w:jc w:val="left"/>
        <w:rPr>
          <w:rFonts w:ascii="Times New Roman" w:hAnsi="Times New Roman"/>
          <w:b/>
          <w:color w:val="000000"/>
          <w:sz w:val="18"/>
        </w:rPr>
      </w:pPr>
      <w:bookmarkStart w:id="33" w:name="item_9a_controls_and_procedures"/>
      <w:bookmarkEnd w:id="33"/>
      <w:r>
        <w:rPr>
          <w:rFonts w:ascii="Times New Roman" w:hAnsi="Times New Roman"/>
          <w:b/>
          <w:color w:val="000000"/>
          <w:sz w:val="18"/>
        </w:rPr>
        <w:t>ITEM 9A. Controls and Procedures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Evaluation of Disclosure Controls and Procedures.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required by Rules 13a-15(b) and 15d-15(b) of the Exchange Act, our management with the participation of our Chief Executive Officer and our Chief Financial Officer,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our Chief Financial Officer concluded that, as of such date, our disclosure controls and procedures were effective at the reasonable assurance level.</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Management’s Report on Internal Control over Financial Reporting.</w:t>
      </w:r>
    </w:p>
    <w:p>
      <w:pPr>
        <w:pStyle w:val="TextBody"/>
        <w:bidi w:val="0"/>
        <w:spacing w:before="108" w:after="283"/>
        <w:jc w:val="left"/>
        <w:rPr>
          <w:rFonts w:ascii="Times New Roman" w:hAnsi="Times New Roman"/>
          <w:sz w:val="20"/>
        </w:rPr>
      </w:pPr>
      <w:r>
        <w:rPr>
          <w:rFonts w:ascii="Times New Roman" w:hAnsi="Times New Roman"/>
          <w:color w:val="000000"/>
          <w:sz w:val="18"/>
        </w:rPr>
        <w:t>Our management is responsible for establishing and maintaining adequate internal control over financial reporting (as defined in Rule 13a-15(f) under the Exchange Act).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the assessment, management has concluded that its internal control over financial reporting was effective as of December 31, 2023, to provide reasonable assurance regarding the reliability of financial reporting and the preparation of financial statements in accordance with GAAP.</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Changes in Internal Control over Financial Reporting.</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Under the supervision and with the participation of our management, including our Chief Executive Officer and Chief Financial Officer, we conducted an evaluation of any changes in our internal control over financial reporting (as such term is defined in Rules 13a-15(d) and 15d-15(d) under the Exchange Act) that occurred during our most recently completed fiscal quarter. Based on that evaluation, our principal executive officers and principal financial officer concluded that there has not been any material change in our internal control over financial reporting during the fourth quarter of fiscal 2023 that materially affected, or is reasonably likely to materially affect, our internal control over financial reporting.</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Limitations on Effectiveness of Controls and Procedures and Internal Control over Financial Reporting</w:t>
      </w:r>
    </w:p>
    <w:p>
      <w:pPr>
        <w:pStyle w:val="TextBody"/>
        <w:bidi w:val="0"/>
        <w:spacing w:before="108" w:after="283"/>
        <w:jc w:val="left"/>
        <w:rPr>
          <w:rFonts w:ascii="Times New Roman" w:hAnsi="Times New Roman"/>
          <w:sz w:val="20"/>
        </w:rPr>
      </w:pPr>
      <w:r>
        <w:rPr>
          <w:rFonts w:ascii="Times New Roman" w:hAnsi="Times New Roman"/>
          <w:color w:val="000000"/>
          <w:sz w:val="18"/>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br/>
      </w:r>
      <w:r>
        <w:rPr>
          <w:rFonts w:ascii="Times New Roman" w:hAnsi="Times New Roman"/>
          <w:color w:val="000000"/>
          <w:sz w:val="20"/>
        </w:rPr>
        <w:t>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See Management’s Report on Internal Control over Financial Reporting above.</w:t>
      </w:r>
    </w:p>
    <w:p>
      <w:pPr>
        <w:pStyle w:val="TextBody"/>
        <w:bidi w:val="0"/>
        <w:spacing w:before="216" w:after="283"/>
        <w:jc w:val="left"/>
        <w:rPr>
          <w:rFonts w:ascii="Times New Roman" w:hAnsi="Times New Roman"/>
          <w:sz w:val="20"/>
        </w:rPr>
      </w:pPr>
      <w:r>
        <w:rPr>
          <w:rFonts w:ascii="Times New Roman" w:hAnsi="Times New Roman"/>
          <w:color w:val="000000"/>
          <w:sz w:val="18"/>
        </w:rPr>
        <w:br/>
      </w:r>
      <w:r>
        <w:rPr>
          <w:rFonts w:ascii="Times New Roman" w:hAnsi="Times New Roman"/>
          <w:color w:val="000000"/>
          <w:sz w:val="20"/>
        </w:rPr>
        <w:t> </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sz w:val="20"/>
        </w:rPr>
      </w:pPr>
      <w:bookmarkStart w:id="34" w:name="item_9b_other_information"/>
      <w:bookmarkEnd w:id="34"/>
      <w:r>
        <w:rPr>
          <w:rFonts w:ascii="Times New Roman" w:hAnsi="Times New Roman"/>
          <w:b/>
          <w:color w:val="000000"/>
          <w:sz w:val="18"/>
        </w:rPr>
        <w:t>ITEM 9B. Other</w:t>
      </w:r>
      <w:r>
        <w:rPr>
          <w:rFonts w:ascii="Times New Roman" w:hAnsi="Times New Roman"/>
          <w:color w:val="000000"/>
          <w:sz w:val="20"/>
        </w:rPr>
        <w:t xml:space="preserve"> </w:t>
      </w:r>
      <w:r>
        <w:rPr>
          <w:rFonts w:ascii="Times New Roman" w:hAnsi="Times New Roman"/>
          <w:b/>
          <w:color w:val="000000"/>
          <w:sz w:val="18"/>
        </w:rPr>
        <w:t>Information</w:t>
      </w:r>
    </w:p>
    <w:p>
      <w:pPr>
        <w:pStyle w:val="TextBody"/>
        <w:bidi w:val="0"/>
        <w:spacing w:before="108" w:after="283"/>
        <w:jc w:val="left"/>
        <w:rPr>
          <w:rFonts w:ascii="Times New Roman" w:hAnsi="Times New Roman"/>
          <w:sz w:val="20"/>
        </w:rPr>
      </w:pPr>
      <w:r>
        <w:rPr>
          <w:rFonts w:ascii="Times New Roman" w:hAnsi="Times New Roman"/>
          <w:color w:val="000000"/>
          <w:sz w:val="18"/>
        </w:rPr>
        <w:t>During the fiscal quarter ended December 31, 2023, no director or officer of the Company adopted</w:t>
      </w:r>
      <w:r>
        <w:rPr>
          <w:rFonts w:ascii="Times New Roman" w:hAnsi="Times New Roman"/>
          <w:color w:val="000000"/>
          <w:sz w:val="20"/>
        </w:rPr>
        <w:t xml:space="preserve"> </w:t>
      </w:r>
      <w:r>
        <w:rPr>
          <w:rFonts w:ascii="Times New Roman" w:hAnsi="Times New Roman"/>
          <w:color w:val="000000"/>
          <w:sz w:val="18"/>
        </w:rPr>
        <w:t>or terminated</w:t>
      </w:r>
      <w:r>
        <w:rPr>
          <w:rFonts w:ascii="Times New Roman" w:hAnsi="Times New Roman"/>
          <w:color w:val="000000"/>
          <w:sz w:val="20"/>
        </w:rPr>
        <w:t xml:space="preserve"> </w:t>
      </w:r>
      <w:r>
        <w:rPr>
          <w:rFonts w:ascii="Times New Roman" w:hAnsi="Times New Roman"/>
          <w:color w:val="000000"/>
          <w:sz w:val="18"/>
        </w:rPr>
        <w:t>a “Rule 10b5-1 trading arrangement” or “non-Rule 10b5-1 trading arrangement,” as each term is defined in Item 408(a) of Regulation S-K.</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ITEM 9C. Disclosure Regarding Foreign Jurisdictions that Prevent Inspections</w:t>
      </w:r>
    </w:p>
    <w:p>
      <w:pPr>
        <w:pStyle w:val="TextBody"/>
        <w:bidi w:val="0"/>
        <w:spacing w:before="108" w:after="283"/>
        <w:jc w:val="left"/>
        <w:rPr>
          <w:rFonts w:ascii="Times New Roman" w:hAnsi="Times New Roman"/>
          <w:sz w:val="20"/>
        </w:rPr>
      </w:pPr>
      <w:r>
        <w:rPr>
          <w:rFonts w:ascii="Times New Roman" w:hAnsi="Times New Roman"/>
          <w:color w:val="000000"/>
          <w:sz w:val="18"/>
        </w:rPr>
        <w:t>Not applicable.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bookmarkStart w:id="35" w:name="part_iii"/>
      <w:bookmarkEnd w:id="35"/>
      <w:r>
        <w:rPr>
          <w:rFonts w:ascii="Times New Roman" w:hAnsi="Times New Roman"/>
          <w:b/>
          <w:color w:val="000000"/>
          <w:sz w:val="18"/>
        </w:rPr>
        <w:t>PART III</w:t>
      </w:r>
    </w:p>
    <w:p>
      <w:pPr>
        <w:pStyle w:val="TextBody"/>
        <w:bidi w:val="0"/>
        <w:spacing w:before="120" w:after="283"/>
        <w:jc w:val="left"/>
        <w:rPr>
          <w:rFonts w:ascii="Times New Roman" w:hAnsi="Times New Roman"/>
          <w:b/>
          <w:color w:val="000000"/>
          <w:sz w:val="18"/>
        </w:rPr>
      </w:pPr>
      <w:bookmarkStart w:id="36" w:name="item_10"/>
      <w:bookmarkEnd w:id="36"/>
      <w:r>
        <w:rPr>
          <w:rFonts w:ascii="Times New Roman" w:hAnsi="Times New Roman"/>
          <w:b/>
          <w:color w:val="000000"/>
          <w:sz w:val="18"/>
        </w:rPr>
        <w:t>ITEM 10. Directors, Executive Officers and Corporate Governance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Except to the extent provided below, the information required by this Item 10 will be included in our Proxy Statement to be filed with the SEC and is incorporated herein by reference.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adopted a Company Code of Business Conduct and Ethics that applies to all officers, directors and employees, including our principal executive officer, principal financial officer, principal accounting officer or controller, or person performing similar functions. A current copy of the Code of Business Conduct and Ethics is available on the Corporate Governance section of our website at www.bioatla.com. If we make any substantive amendments to the Code of Business Conduct and Ethics or grants any waiver from a provision of the Code of Business Conduct and Ethics to any executive officer or director that are required to be disclosed pursuant to SEC rules, we will promptly disclose the nature of the amendment or waiver on our website or in a current report on Form 8-K.</w:t>
      </w:r>
    </w:p>
    <w:p>
      <w:pPr>
        <w:pStyle w:val="TextBody"/>
        <w:bidi w:val="0"/>
        <w:jc w:val="left"/>
        <w:rPr/>
      </w:pPr>
      <w:r>
        <w:rPr/>
        <w:t> </w:t>
      </w:r>
    </w:p>
    <w:p>
      <w:pPr>
        <w:pStyle w:val="TextBody"/>
        <w:bidi w:val="0"/>
        <w:jc w:val="left"/>
        <w:rPr>
          <w:rFonts w:ascii="Times New Roman" w:hAnsi="Times New Roman"/>
          <w:b/>
          <w:color w:val="000000"/>
          <w:sz w:val="18"/>
        </w:rPr>
      </w:pPr>
      <w:bookmarkStart w:id="37" w:name="item_11"/>
      <w:bookmarkEnd w:id="37"/>
      <w:r>
        <w:rPr>
          <w:rFonts w:ascii="Times New Roman" w:hAnsi="Times New Roman"/>
          <w:b/>
          <w:color w:val="000000"/>
          <w:sz w:val="18"/>
        </w:rPr>
        <w:t>ITEM 11. Executive Compensation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information required by this Item 11 will be included in our Proxy Statement to be filed with the SEC and is incorporated herein by reference.</w:t>
      </w:r>
    </w:p>
    <w:p>
      <w:pPr>
        <w:pStyle w:val="TextBody"/>
        <w:bidi w:val="0"/>
        <w:jc w:val="left"/>
        <w:rPr/>
      </w:pPr>
      <w:r>
        <w:rPr/>
        <w:t> </w:t>
      </w:r>
    </w:p>
    <w:p>
      <w:pPr>
        <w:pStyle w:val="TextBody"/>
        <w:bidi w:val="0"/>
        <w:jc w:val="left"/>
        <w:rPr>
          <w:rFonts w:ascii="Times New Roman" w:hAnsi="Times New Roman"/>
          <w:b/>
          <w:color w:val="000000"/>
          <w:sz w:val="18"/>
        </w:rPr>
      </w:pPr>
      <w:bookmarkStart w:id="38" w:name="item_12"/>
      <w:bookmarkEnd w:id="38"/>
      <w:r>
        <w:rPr>
          <w:rFonts w:ascii="Times New Roman" w:hAnsi="Times New Roman"/>
          <w:b/>
          <w:color w:val="000000"/>
          <w:sz w:val="18"/>
        </w:rPr>
        <w:t>ITEM 12. Security Ownership of Certain Beneficial Owners and Management and Related Stockholder Matters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information required by this Item 12 will be included in our Proxy Statement to be filed with the SEC and is incorporated herein by reference.</w:t>
      </w:r>
    </w:p>
    <w:p>
      <w:pPr>
        <w:pStyle w:val="TextBody"/>
        <w:bidi w:val="0"/>
        <w:jc w:val="left"/>
        <w:rPr/>
      </w:pPr>
      <w:r>
        <w:rPr/>
        <w:t> </w:t>
      </w:r>
    </w:p>
    <w:p>
      <w:pPr>
        <w:pStyle w:val="TextBody"/>
        <w:bidi w:val="0"/>
        <w:jc w:val="left"/>
        <w:rPr>
          <w:rFonts w:ascii="Times New Roman" w:hAnsi="Times New Roman"/>
          <w:b/>
          <w:color w:val="000000"/>
          <w:sz w:val="18"/>
        </w:rPr>
      </w:pPr>
      <w:bookmarkStart w:id="39" w:name="item_13"/>
      <w:bookmarkEnd w:id="39"/>
      <w:r>
        <w:rPr>
          <w:rFonts w:ascii="Times New Roman" w:hAnsi="Times New Roman"/>
          <w:b/>
          <w:color w:val="000000"/>
          <w:sz w:val="18"/>
        </w:rPr>
        <w:t>ITEM 13. Certain Relationships and Related Party Transactions, and Director Independence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information required by this Item 13 will be included in our Proxy Statement to be filed with the SEC and is incorporated herein by reference.</w:t>
      </w:r>
    </w:p>
    <w:p>
      <w:pPr>
        <w:pStyle w:val="TextBody"/>
        <w:bidi w:val="0"/>
        <w:jc w:val="left"/>
        <w:rPr/>
      </w:pPr>
      <w:r>
        <w:rPr/>
        <w:t> </w:t>
      </w:r>
    </w:p>
    <w:p>
      <w:pPr>
        <w:pStyle w:val="TextBody"/>
        <w:bidi w:val="0"/>
        <w:jc w:val="left"/>
        <w:rPr>
          <w:rFonts w:ascii="Times New Roman" w:hAnsi="Times New Roman"/>
          <w:b/>
          <w:color w:val="000000"/>
          <w:sz w:val="18"/>
        </w:rPr>
      </w:pPr>
      <w:bookmarkStart w:id="40" w:name="item_14"/>
      <w:bookmarkEnd w:id="40"/>
      <w:r>
        <w:rPr>
          <w:rFonts w:ascii="Times New Roman" w:hAnsi="Times New Roman"/>
          <w:b/>
          <w:color w:val="000000"/>
          <w:sz w:val="18"/>
        </w:rPr>
        <w:t>ITEM 14. Principal Accountant Fees and Services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information required by this Item 14 will be included in our Proxy Statement to be filed with the SEC and is incorporated herein by reference.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bookmarkStart w:id="41" w:name="part_iv"/>
      <w:bookmarkEnd w:id="41"/>
      <w:r>
        <w:rPr>
          <w:rFonts w:ascii="Times New Roman" w:hAnsi="Times New Roman"/>
          <w:b/>
          <w:color w:val="000000"/>
          <w:sz w:val="18"/>
        </w:rPr>
        <w:t>PART IV</w:t>
      </w:r>
    </w:p>
    <w:p>
      <w:pPr>
        <w:pStyle w:val="TextBody"/>
        <w:bidi w:val="0"/>
        <w:spacing w:before="320" w:after="283"/>
        <w:jc w:val="left"/>
        <w:rPr>
          <w:rFonts w:ascii="Times New Roman" w:hAnsi="Times New Roman"/>
          <w:b/>
          <w:color w:val="000000"/>
          <w:sz w:val="18"/>
        </w:rPr>
      </w:pPr>
      <w:bookmarkStart w:id="42" w:name="item_15_exhibits_and_financial"/>
      <w:bookmarkEnd w:id="42"/>
      <w:r>
        <w:rPr>
          <w:rFonts w:ascii="Times New Roman" w:hAnsi="Times New Roman"/>
          <w:b/>
          <w:color w:val="000000"/>
          <w:sz w:val="18"/>
        </w:rPr>
        <w:t>ITEM 15. Exhibits and Financial Statement Schedules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(a) Documents files as part of this Annual Report on Form 10-K:</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(1) Financial Statements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response to this portion of Item 15 is set forth under Item 8 hereof.</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(2) Financial Statement Schedules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All financial statement schedules have been omitted because they are not applicable, not required, or the information required is shown in the financial statements or the notes thereto.</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(3) Exhibits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pStyle w:val="TextBody"/>
        <w:bidi w:val="0"/>
        <w:spacing w:before="320" w:after="283"/>
        <w:jc w:val="left"/>
        <w:rPr>
          <w:rFonts w:ascii="Times New Roman" w:hAnsi="Times New Roman"/>
          <w:b/>
          <w:color w:val="000000"/>
          <w:sz w:val="18"/>
        </w:rPr>
      </w:pPr>
      <w:bookmarkStart w:id="43" w:name="item_16_form_10_k_summary"/>
      <w:bookmarkEnd w:id="43"/>
      <w:r>
        <w:rPr>
          <w:rFonts w:ascii="Times New Roman" w:hAnsi="Times New Roman"/>
          <w:b/>
          <w:color w:val="000000"/>
          <w:sz w:val="18"/>
        </w:rPr>
        <w:t>ITEM 16. Form 10-K Summary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left"/>
        <w:rPr>
          <w:rFonts w:ascii="Times New Roman" w:hAnsi="Times New Roman"/>
          <w:b/>
          <w:color w:val="000000"/>
          <w:sz w:val="18"/>
        </w:rPr>
      </w:pPr>
      <w:r>
        <w:rPr>
          <w:rFonts w:ascii="Times New Roman" w:hAnsi="Times New Roman"/>
          <w:b/>
          <w:color w:val="000000"/>
          <w:sz w:val="18"/>
        </w:rPr>
        <w:t>Exhibit Index</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exhibits, if not filed or furnished herewith, are incorporated herein by reference to this Annual Report on form 10-K:</w:t>
      </w:r>
    </w:p>
    <w:p>
      <w:pPr>
        <w:pStyle w:val="TextBody"/>
        <w:bidi w:val="0"/>
        <w:spacing w:before="108" w:after="283"/>
        <w:jc w:val="left"/>
        <w:rPr/>
      </w:pPr>
      <w:r>
        <w:rPr/>
        <w:t> </w:t>
      </w:r>
    </w:p>
    <w:tbl>
      <w:tblPr>
        <w:tblW w:w="10205" w:type="dxa"/>
        <w:jc w:val="left"/>
        <w:tblInd w:w="0" w:type="dxa"/>
        <w:tblLayout w:type="fixed"/>
        <w:tblCellMar>
          <w:top w:w="28" w:type="dxa"/>
          <w:left w:w="28" w:type="dxa"/>
          <w:bottom w:w="28" w:type="dxa"/>
          <w:right w:w="28" w:type="dxa"/>
        </w:tblCellMar>
      </w:tblPr>
      <w:tblGrid>
        <w:gridCol w:w="597"/>
        <w:gridCol w:w="146"/>
        <w:gridCol w:w="5341"/>
        <w:gridCol w:w="146"/>
        <w:gridCol w:w="450"/>
        <w:gridCol w:w="146"/>
        <w:gridCol w:w="727"/>
        <w:gridCol w:w="146"/>
        <w:gridCol w:w="571"/>
        <w:gridCol w:w="146"/>
        <w:gridCol w:w="666"/>
        <w:gridCol w:w="146"/>
        <w:gridCol w:w="977"/>
      </w:tblGrid>
      <w:tr>
        <w:trPr/>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Filed/Furnished Herewith</w:t>
            </w:r>
          </w:p>
        </w:tc>
      </w:tr>
      <w:tr>
        <w:trPr/>
        <w:tc>
          <w:tcPr>
            <w:tcW w:w="597" w:type="dxa"/>
            <w:tcBorders/>
            <w:vAlign w:val="center"/>
          </w:tcPr>
          <w:p>
            <w:pPr>
              <w:pStyle w:val="TableContents"/>
              <w:bidi w:val="0"/>
              <w:spacing w:before="110" w:after="110"/>
              <w:jc w:val="left"/>
              <w:rPr>
                <w:color w:val="000000"/>
              </w:rPr>
            </w:pPr>
            <w:r>
              <w:rPr>
                <w:color w:val="000000"/>
              </w:rPr>
              <w:t>  </w:t>
            </w:r>
            <w:r>
              <w:rPr>
                <w:rFonts w:ascii="Times New Roman" w:hAnsi="Times New Roman"/>
                <w:color w:val="000000"/>
                <w:sz w:val="18"/>
              </w:rPr>
              <w:t>3.1</w:t>
            </w:r>
          </w:p>
        </w:tc>
        <w:tc>
          <w:tcPr>
            <w:tcW w:w="146" w:type="dxa"/>
            <w:tcBorders/>
            <w:vAlign w:val="center"/>
          </w:tcPr>
          <w:p>
            <w:pPr>
              <w:pStyle w:val="TableContents"/>
              <w:bidi w:val="0"/>
              <w:spacing w:before="110" w:after="110"/>
              <w:jc w:val="left"/>
              <w:rPr/>
            </w:pPr>
            <w:r>
              <w:rPr/>
              <w:t> </w:t>
            </w:r>
          </w:p>
        </w:tc>
        <w:tc>
          <w:tcPr>
            <w:tcW w:w="5341" w:type="dxa"/>
            <w:tcBorders/>
            <w:vAlign w:val="center"/>
          </w:tcPr>
          <w:p>
            <w:pPr>
              <w:pStyle w:val="TableContents"/>
              <w:bidi w:val="0"/>
              <w:spacing w:before="110" w:after="110"/>
              <w:jc w:val="left"/>
              <w:rPr/>
            </w:pPr>
            <w:hyperlink r:id="rId4">
              <w:r>
                <w:rPr>
                  <w:rStyle w:val="InternetLink"/>
                  <w:rFonts w:ascii="Times New Roman" w:hAnsi="Times New Roman"/>
                  <w:color w:val="0000FF"/>
                  <w:sz w:val="18"/>
                  <w:u w:val="single"/>
                </w:rPr>
                <w:t>Amended and Restated Certificate of Incorporation of BioAtla, Inc.</w:t>
              </w:r>
            </w:hyperlink>
          </w:p>
        </w:tc>
        <w:tc>
          <w:tcPr>
            <w:tcW w:w="146" w:type="dxa"/>
            <w:tcBorders/>
            <w:vAlign w:val="center"/>
          </w:tcPr>
          <w:p>
            <w:pPr>
              <w:pStyle w:val="TableContents"/>
              <w:bidi w:val="0"/>
              <w:spacing w:before="110" w:after="110"/>
              <w:jc w:val="left"/>
              <w:rPr/>
            </w:pPr>
            <w:r>
              <w:rPr/>
              <w:t> </w:t>
            </w:r>
          </w:p>
        </w:tc>
        <w:tc>
          <w:tcPr>
            <w:tcW w:w="450" w:type="dxa"/>
            <w:tcBorders/>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8-K</w:t>
            </w:r>
          </w:p>
        </w:tc>
        <w:tc>
          <w:tcPr>
            <w:tcW w:w="146" w:type="dxa"/>
            <w:tcBorders/>
            <w:vAlign w:val="center"/>
          </w:tcPr>
          <w:p>
            <w:pPr>
              <w:pStyle w:val="TableContents"/>
              <w:bidi w:val="0"/>
              <w:spacing w:before="110" w:after="110"/>
              <w:jc w:val="left"/>
              <w:rPr/>
            </w:pPr>
            <w:r>
              <w:rPr/>
              <w:t> </w:t>
            </w:r>
          </w:p>
        </w:tc>
        <w:tc>
          <w:tcPr>
            <w:tcW w:w="727" w:type="dxa"/>
            <w:tcBorders/>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vAlign w:val="center"/>
          </w:tcPr>
          <w:p>
            <w:pPr>
              <w:pStyle w:val="TableContents"/>
              <w:bidi w:val="0"/>
              <w:spacing w:before="110" w:after="110"/>
              <w:jc w:val="left"/>
              <w:rPr/>
            </w:pPr>
            <w:r>
              <w:rPr/>
              <w:t> </w:t>
            </w:r>
          </w:p>
        </w:tc>
        <w:tc>
          <w:tcPr>
            <w:tcW w:w="571" w:type="dxa"/>
            <w:tcBorders/>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3.1</w:t>
            </w:r>
          </w:p>
        </w:tc>
        <w:tc>
          <w:tcPr>
            <w:tcW w:w="146" w:type="dxa"/>
            <w:tcBorders/>
            <w:vAlign w:val="center"/>
          </w:tcPr>
          <w:p>
            <w:pPr>
              <w:pStyle w:val="TableContents"/>
              <w:bidi w:val="0"/>
              <w:spacing w:before="110" w:after="110"/>
              <w:jc w:val="left"/>
              <w:rPr/>
            </w:pPr>
            <w:r>
              <w:rPr/>
              <w:t> </w:t>
            </w:r>
          </w:p>
        </w:tc>
        <w:tc>
          <w:tcPr>
            <w:tcW w:w="666" w:type="dxa"/>
            <w:tcBorders/>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12-18-2020</w:t>
            </w:r>
          </w:p>
        </w:tc>
        <w:tc>
          <w:tcPr>
            <w:tcW w:w="146" w:type="dxa"/>
            <w:tcBorders/>
            <w:vAlign w:val="center"/>
          </w:tcPr>
          <w:p>
            <w:pPr>
              <w:pStyle w:val="TableContents"/>
              <w:bidi w:val="0"/>
              <w:spacing w:before="110" w:after="110"/>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3.2</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5">
              <w:r>
                <w:rPr>
                  <w:rStyle w:val="InternetLink"/>
                  <w:rFonts w:ascii="Times New Roman" w:hAnsi="Times New Roman"/>
                  <w:color w:val="0000FF"/>
                  <w:sz w:val="18"/>
                  <w:u w:val="single"/>
                </w:rPr>
                <w:t>Amended and Restated Bylaws of BioAtla, Inc.</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01-05-2024</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4.1</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6">
              <w:r>
                <w:rPr>
                  <w:rStyle w:val="InternetLink"/>
                  <w:rFonts w:ascii="Times New Roman" w:hAnsi="Times New Roman"/>
                  <w:color w:val="0000FF"/>
                  <w:sz w:val="18"/>
                  <w:u w:val="single"/>
                </w:rPr>
                <w:t>Specimen Common Stock Certificate evidencing the shares of common stock</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4.1</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4.2</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7">
              <w:r>
                <w:rPr>
                  <w:rStyle w:val="InternetLink"/>
                  <w:rFonts w:ascii="Times New Roman" w:hAnsi="Times New Roman"/>
                  <w:color w:val="0000FF"/>
                  <w:sz w:val="18"/>
                  <w:u w:val="single"/>
                </w:rPr>
                <w:t>Investors’ Rights Agreement, dated July 13, 2020</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4.2</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4.3</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w:anchor="bcab-ex4_3.htm">
              <w:r>
                <w:rPr>
                  <w:rStyle w:val="InternetLink"/>
                  <w:rFonts w:ascii="Times New Roman" w:hAnsi="Times New Roman"/>
                  <w:color w:val="0000FF"/>
                  <w:sz w:val="18"/>
                  <w:u w:val="single"/>
                </w:rPr>
                <w:t>Description of Securities</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59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8">
              <w:r>
                <w:rPr>
                  <w:rStyle w:val="InternetLink"/>
                  <w:rFonts w:ascii="Times New Roman" w:hAnsi="Times New Roman"/>
                  <w:color w:val="0000FF"/>
                  <w:sz w:val="18"/>
                  <w:u w:val="single"/>
                </w:rPr>
                <w:t>2020 Equity Incentive Plan</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9">
              <w:r>
                <w:rPr>
                  <w:rStyle w:val="InternetLink"/>
                  <w:rFonts w:ascii="Times New Roman" w:hAnsi="Times New Roman"/>
                  <w:color w:val="0000FF"/>
                  <w:sz w:val="18"/>
                  <w:u w:val="single"/>
                </w:rPr>
                <w:t>Amendment No. 1 to 2020 Equity Incentive Plan</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S-8</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333-251520</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99.2</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12-18-2020</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10">
              <w:r>
                <w:rPr>
                  <w:rStyle w:val="InternetLink"/>
                  <w:rFonts w:ascii="Times New Roman" w:hAnsi="Times New Roman"/>
                  <w:color w:val="0000FF"/>
                  <w:sz w:val="18"/>
                  <w:u w:val="single"/>
                </w:rPr>
                <w:t>2020 Employee Stock Purchase Plan</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10.4*</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11">
              <w:r>
                <w:rPr>
                  <w:rStyle w:val="InternetLink"/>
                  <w:rFonts w:ascii="Times New Roman" w:hAnsi="Times New Roman"/>
                  <w:color w:val="0000FF"/>
                  <w:sz w:val="18"/>
                  <w:u w:val="single"/>
                </w:rPr>
                <w:t>Exclusive Rights Agreement with Himalaya SEZC, dated January 1, 2020</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10.4</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11-13-2020</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10.5*</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12">
              <w:r>
                <w:rPr>
                  <w:rStyle w:val="InternetLink"/>
                  <w:rFonts w:ascii="Times New Roman" w:hAnsi="Times New Roman"/>
                  <w:color w:val="0000FF"/>
                  <w:sz w:val="18"/>
                  <w:u w:val="single"/>
                </w:rPr>
                <w:t>Global Co-Development and Collaboration Agreement with BeiGene, Ltd. and BeiGene Switzerland GmbH, dated April 8, 2019, as amended by First Amendment, dated December 24, 2019 and as amended by Second Amendment, October 5, 2020</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10.8</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11-13-2020</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10.6+</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13">
              <w:r>
                <w:rPr>
                  <w:rStyle w:val="InternetLink"/>
                  <w:rFonts w:ascii="Times New Roman" w:hAnsi="Times New Roman"/>
                  <w:color w:val="0000FF"/>
                  <w:sz w:val="18"/>
                  <w:u w:val="single"/>
                </w:rPr>
                <w:t>Employment Letter Agreement between BioAtla, LLC and Jay Short, as amended by the Letter Amendment dated October 1, 2011</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10.11</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10.7+</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14">
              <w:r>
                <w:rPr>
                  <w:rStyle w:val="InternetLink"/>
                  <w:rFonts w:ascii="Times New Roman" w:hAnsi="Times New Roman"/>
                  <w:color w:val="0000FF"/>
                  <w:sz w:val="18"/>
                  <w:u w:val="single"/>
                </w:rPr>
                <w:t>Severance Agreement between BioAtla, LLC and Jay Short, dated July 1, 2018</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10.13</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10.8+</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15">
              <w:r>
                <w:rPr>
                  <w:rStyle w:val="InternetLink"/>
                  <w:rFonts w:ascii="Times New Roman" w:hAnsi="Times New Roman"/>
                  <w:color w:val="0000FF"/>
                  <w:sz w:val="18"/>
                  <w:u w:val="single"/>
                </w:rPr>
                <w:t>Offer Letter between BioAtla, LLC and Scott Smith, dated August 2, 2018</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10.14</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10.9+</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16">
              <w:r>
                <w:rPr>
                  <w:rStyle w:val="InternetLink"/>
                  <w:rFonts w:ascii="Times New Roman" w:hAnsi="Times New Roman"/>
                  <w:color w:val="0000FF"/>
                  <w:sz w:val="18"/>
                  <w:u w:val="single"/>
                </w:rPr>
                <w:t>Letter Agreement between BioAtla, LLC and Scott Smith, dated August 3, 2018</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10.15</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10.10+</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17">
              <w:r>
                <w:rPr>
                  <w:rStyle w:val="InternetLink"/>
                  <w:rFonts w:ascii="Times New Roman" w:hAnsi="Times New Roman"/>
                  <w:color w:val="0000FF"/>
                  <w:sz w:val="18"/>
                  <w:u w:val="single"/>
                </w:rPr>
                <w:t>Severance Agreement between BioAtla, LLC and Scott Smith, dated August 20, 2018</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10.16</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10.11+</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18">
              <w:r>
                <w:rPr>
                  <w:rStyle w:val="InternetLink"/>
                  <w:rFonts w:ascii="Times New Roman" w:hAnsi="Times New Roman"/>
                  <w:color w:val="0000FF"/>
                  <w:sz w:val="18"/>
                  <w:u w:val="single"/>
                </w:rPr>
                <w:t>Offer Letter between BioAtla, LLC and Richard Waldron, dated October 23, 2013</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10-K</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001-39787</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10.19</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02-28-2022</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110"/>
              <w:jc w:val="right"/>
              <w:rPr/>
            </w:pPr>
            <w:r>
              <w:rPr/>
              <w:t> </w:t>
            </w:r>
          </w:p>
        </w:tc>
      </w:tr>
      <w:tr>
        <w:trPr/>
        <w:tc>
          <w:tcPr>
            <w:tcW w:w="59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10.12+</w:t>
            </w:r>
          </w:p>
        </w:tc>
        <w:tc>
          <w:tcPr>
            <w:tcW w:w="146" w:type="dxa"/>
            <w:tcBorders/>
            <w:vAlign w:val="center"/>
          </w:tcPr>
          <w:p>
            <w:pPr>
              <w:pStyle w:val="TableContents"/>
              <w:bidi w:val="0"/>
              <w:spacing w:before="0" w:after="110"/>
              <w:jc w:val="left"/>
              <w:rPr/>
            </w:pPr>
            <w:r>
              <w:rPr/>
              <w:t> </w:t>
            </w:r>
          </w:p>
        </w:tc>
        <w:tc>
          <w:tcPr>
            <w:tcW w:w="5341" w:type="dxa"/>
            <w:tcBorders/>
            <w:vAlign w:val="center"/>
          </w:tcPr>
          <w:p>
            <w:pPr>
              <w:pStyle w:val="TableContents"/>
              <w:bidi w:val="0"/>
              <w:spacing w:before="0" w:after="110"/>
              <w:jc w:val="left"/>
              <w:rPr/>
            </w:pPr>
            <w:hyperlink r:id="rId19">
              <w:r>
                <w:rPr>
                  <w:rStyle w:val="InternetLink"/>
                  <w:rFonts w:ascii="Times New Roman" w:hAnsi="Times New Roman"/>
                  <w:color w:val="0000FF"/>
                  <w:sz w:val="18"/>
                  <w:u w:val="single"/>
                </w:rPr>
                <w:t>Severance Agreement between BioAtla, LLC and Richard Waldron, dated July 1, 2018</w:t>
              </w:r>
            </w:hyperlink>
          </w:p>
        </w:tc>
        <w:tc>
          <w:tcPr>
            <w:tcW w:w="146" w:type="dxa"/>
            <w:tcBorders/>
            <w:vAlign w:val="center"/>
          </w:tcPr>
          <w:p>
            <w:pPr>
              <w:pStyle w:val="TableContents"/>
              <w:bidi w:val="0"/>
              <w:spacing w:before="0" w:after="110"/>
              <w:jc w:val="left"/>
              <w:rPr/>
            </w:pPr>
            <w:r>
              <w:rPr/>
              <w:t> </w:t>
            </w:r>
          </w:p>
        </w:tc>
        <w:tc>
          <w:tcPr>
            <w:tcW w:w="450" w:type="dxa"/>
            <w:tcBorders/>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10-K</w:t>
            </w:r>
          </w:p>
        </w:tc>
        <w:tc>
          <w:tcPr>
            <w:tcW w:w="146" w:type="dxa"/>
            <w:tcBorders/>
            <w:vAlign w:val="center"/>
          </w:tcPr>
          <w:p>
            <w:pPr>
              <w:pStyle w:val="TableContents"/>
              <w:bidi w:val="0"/>
              <w:spacing w:before="0" w:after="110"/>
              <w:jc w:val="left"/>
              <w:rPr/>
            </w:pPr>
            <w:r>
              <w:rPr/>
              <w:t> </w:t>
            </w:r>
          </w:p>
        </w:tc>
        <w:tc>
          <w:tcPr>
            <w:tcW w:w="727" w:type="dxa"/>
            <w:tcBorders/>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10.20</w:t>
            </w:r>
          </w:p>
        </w:tc>
        <w:tc>
          <w:tcPr>
            <w:tcW w:w="146" w:type="dxa"/>
            <w:tcBorders/>
            <w:vAlign w:val="center"/>
          </w:tcPr>
          <w:p>
            <w:pPr>
              <w:pStyle w:val="TableContents"/>
              <w:bidi w:val="0"/>
              <w:spacing w:before="0" w:after="110"/>
              <w:jc w:val="left"/>
              <w:rPr/>
            </w:pPr>
            <w:r>
              <w:rPr/>
              <w:t> </w:t>
            </w:r>
          </w:p>
        </w:tc>
        <w:tc>
          <w:tcPr>
            <w:tcW w:w="666" w:type="dxa"/>
            <w:tcBorders/>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vAlign w:val="center"/>
          </w:tcPr>
          <w:p>
            <w:pPr>
              <w:pStyle w:val="TableContents"/>
              <w:bidi w:val="0"/>
              <w:spacing w:before="0" w:after="110"/>
              <w:jc w:val="left"/>
              <w:rPr/>
            </w:pPr>
            <w:r>
              <w:rPr/>
              <w:t> </w:t>
            </w:r>
          </w:p>
        </w:tc>
        <w:tc>
          <w:tcPr>
            <w:tcW w:w="977" w:type="dxa"/>
            <w:tcBorders/>
            <w:vAlign w:val="center"/>
          </w:tcPr>
          <w:p>
            <w:pPr>
              <w:pStyle w:val="TableContents"/>
              <w:bidi w:val="0"/>
              <w:spacing w:before="0" w:after="110"/>
              <w:jc w:val="right"/>
              <w:rPr/>
            </w:pPr>
            <w:r>
              <w:rPr/>
              <w:t> </w:t>
            </w:r>
          </w:p>
        </w:tc>
      </w:tr>
    </w:tbl>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56"/>
        <w:gridCol w:w="146"/>
        <w:gridCol w:w="5115"/>
        <w:gridCol w:w="146"/>
        <w:gridCol w:w="461"/>
        <w:gridCol w:w="146"/>
        <w:gridCol w:w="757"/>
        <w:gridCol w:w="146"/>
        <w:gridCol w:w="571"/>
        <w:gridCol w:w="146"/>
        <w:gridCol w:w="707"/>
        <w:gridCol w:w="146"/>
        <w:gridCol w:w="1062"/>
      </w:tblGrid>
      <w:tr>
        <w:trPr/>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65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51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70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106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Filed/Furnished Herewith</w:t>
            </w:r>
          </w:p>
        </w:tc>
      </w:tr>
      <w:tr>
        <w:trPr/>
        <w:tc>
          <w:tcPr>
            <w:tcW w:w="656" w:type="dxa"/>
            <w:tcBorders/>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10.13+</w:t>
            </w:r>
          </w:p>
        </w:tc>
        <w:tc>
          <w:tcPr>
            <w:tcW w:w="146" w:type="dxa"/>
            <w:tcBorders/>
            <w:vAlign w:val="center"/>
          </w:tcPr>
          <w:p>
            <w:pPr>
              <w:pStyle w:val="TableContents"/>
              <w:bidi w:val="0"/>
              <w:spacing w:before="110" w:after="110"/>
              <w:jc w:val="left"/>
              <w:rPr/>
            </w:pPr>
            <w:r>
              <w:rPr/>
              <w:t> </w:t>
            </w:r>
          </w:p>
        </w:tc>
        <w:tc>
          <w:tcPr>
            <w:tcW w:w="5115" w:type="dxa"/>
            <w:tcBorders/>
            <w:vAlign w:val="center"/>
          </w:tcPr>
          <w:p>
            <w:pPr>
              <w:pStyle w:val="TableContents"/>
              <w:bidi w:val="0"/>
              <w:spacing w:before="110" w:after="110"/>
              <w:jc w:val="left"/>
              <w:rPr/>
            </w:pPr>
            <w:hyperlink r:id="rId20">
              <w:r>
                <w:rPr>
                  <w:rStyle w:val="InternetLink"/>
                  <w:rFonts w:ascii="Times New Roman" w:hAnsi="Times New Roman"/>
                  <w:color w:val="0000FF"/>
                  <w:sz w:val="18"/>
                  <w:u w:val="single"/>
                </w:rPr>
                <w:t>Offer Letter between BioAtla, LLC and Eric Sievers, dated June 17, 2019</w:t>
              </w:r>
            </w:hyperlink>
          </w:p>
        </w:tc>
        <w:tc>
          <w:tcPr>
            <w:tcW w:w="146" w:type="dxa"/>
            <w:tcBorders/>
            <w:vAlign w:val="center"/>
          </w:tcPr>
          <w:p>
            <w:pPr>
              <w:pStyle w:val="TableContents"/>
              <w:bidi w:val="0"/>
              <w:spacing w:before="110" w:after="110"/>
              <w:jc w:val="left"/>
              <w:rPr/>
            </w:pPr>
            <w:r>
              <w:rPr/>
              <w:t> </w:t>
            </w:r>
          </w:p>
        </w:tc>
        <w:tc>
          <w:tcPr>
            <w:tcW w:w="461" w:type="dxa"/>
            <w:tcBorders/>
            <w:vAlign w:val="center"/>
          </w:tcPr>
          <w:p>
            <w:pPr>
              <w:pStyle w:val="TableContents"/>
              <w:bidi w:val="0"/>
              <w:spacing w:before="110" w:after="110"/>
              <w:jc w:val="left"/>
              <w:rPr>
                <w:color w:val="000000"/>
              </w:rPr>
            </w:pPr>
            <w:r>
              <w:rPr>
                <w:color w:val="000000"/>
              </w:rPr>
              <w:t> </w:t>
            </w:r>
            <w:r>
              <w:rPr>
                <w:rFonts w:ascii="Times New Roman" w:hAnsi="Times New Roman"/>
                <w:color w:val="000000"/>
                <w:sz w:val="18"/>
              </w:rPr>
              <w:t>10-K</w:t>
            </w:r>
          </w:p>
        </w:tc>
        <w:tc>
          <w:tcPr>
            <w:tcW w:w="146" w:type="dxa"/>
            <w:tcBorders/>
            <w:vAlign w:val="center"/>
          </w:tcPr>
          <w:p>
            <w:pPr>
              <w:pStyle w:val="TableContents"/>
              <w:bidi w:val="0"/>
              <w:spacing w:before="110" w:after="110"/>
              <w:jc w:val="left"/>
              <w:rPr/>
            </w:pPr>
            <w:r>
              <w:rPr/>
              <w:t> </w:t>
            </w:r>
          </w:p>
        </w:tc>
        <w:tc>
          <w:tcPr>
            <w:tcW w:w="757" w:type="dxa"/>
            <w:tcBorders/>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vAlign w:val="center"/>
          </w:tcPr>
          <w:p>
            <w:pPr>
              <w:pStyle w:val="TableContents"/>
              <w:bidi w:val="0"/>
              <w:spacing w:before="110" w:after="110"/>
              <w:jc w:val="left"/>
              <w:rPr/>
            </w:pPr>
            <w:r>
              <w:rPr/>
              <w:t> </w:t>
            </w:r>
          </w:p>
        </w:tc>
        <w:tc>
          <w:tcPr>
            <w:tcW w:w="571" w:type="dxa"/>
            <w:tcBorders/>
            <w:vAlign w:val="center"/>
          </w:tcPr>
          <w:p>
            <w:pPr>
              <w:pStyle w:val="TableContents"/>
              <w:bidi w:val="0"/>
              <w:spacing w:before="110" w:after="110"/>
              <w:jc w:val="left"/>
              <w:rPr>
                <w:color w:val="000000"/>
              </w:rPr>
            </w:pPr>
            <w:r>
              <w:rPr>
                <w:color w:val="000000"/>
              </w:rPr>
              <w:t> </w:t>
            </w:r>
            <w:r>
              <w:rPr>
                <w:rFonts w:ascii="Times New Roman" w:hAnsi="Times New Roman"/>
                <w:color w:val="000000"/>
                <w:sz w:val="18"/>
              </w:rPr>
              <w:t>10.21</w:t>
            </w:r>
          </w:p>
        </w:tc>
        <w:tc>
          <w:tcPr>
            <w:tcW w:w="146" w:type="dxa"/>
            <w:tcBorders/>
            <w:vAlign w:val="center"/>
          </w:tcPr>
          <w:p>
            <w:pPr>
              <w:pStyle w:val="TableContents"/>
              <w:bidi w:val="0"/>
              <w:spacing w:before="110" w:after="110"/>
              <w:jc w:val="left"/>
              <w:rPr/>
            </w:pPr>
            <w:r>
              <w:rPr/>
              <w:t> </w:t>
            </w:r>
          </w:p>
        </w:tc>
        <w:tc>
          <w:tcPr>
            <w:tcW w:w="707" w:type="dxa"/>
            <w:tcBorders/>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vAlign w:val="center"/>
          </w:tcPr>
          <w:p>
            <w:pPr>
              <w:pStyle w:val="TableContents"/>
              <w:bidi w:val="0"/>
              <w:spacing w:before="110" w:after="110"/>
              <w:jc w:val="left"/>
              <w:rPr/>
            </w:pPr>
            <w:r>
              <w:rPr/>
              <w:t> </w:t>
            </w:r>
          </w:p>
        </w:tc>
        <w:tc>
          <w:tcPr>
            <w:tcW w:w="1062" w:type="dxa"/>
            <w:tcBorders/>
            <w:vAlign w:val="center"/>
          </w:tcPr>
          <w:p>
            <w:pPr>
              <w:pStyle w:val="TableContents"/>
              <w:bidi w:val="0"/>
              <w:spacing w:before="110" w:after="110"/>
              <w:jc w:val="right"/>
              <w:rPr/>
            </w:pPr>
            <w:r>
              <w:rPr/>
              <w:t> </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10.14+</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r:id="rId21">
              <w:r>
                <w:rPr>
                  <w:rStyle w:val="InternetLink"/>
                  <w:rFonts w:ascii="Times New Roman" w:hAnsi="Times New Roman"/>
                  <w:color w:val="0000FF"/>
                  <w:sz w:val="18"/>
                  <w:u w:val="single"/>
                </w:rPr>
                <w:t>Offer Letter between BioAtla, LLC and Christian Vasquez, dated October 22, 2015</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10-K</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10.22</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02-28-2022</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right"/>
              <w:rPr/>
            </w:pPr>
            <w:r>
              <w:rPr/>
              <w:t> </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10.15+</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r:id="rId22">
              <w:r>
                <w:rPr>
                  <w:rStyle w:val="InternetLink"/>
                  <w:rFonts w:ascii="Times New Roman" w:hAnsi="Times New Roman"/>
                  <w:color w:val="0000FF"/>
                  <w:sz w:val="18"/>
                  <w:u w:val="single"/>
                </w:rPr>
                <w:t>Form of Indemnification Agreement between the Registrant and each of its executive officers or directors</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10.18</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283"/>
              <w:jc w:val="left"/>
              <w:rPr>
                <w:sz w:val="4"/>
                <w:szCs w:val="4"/>
              </w:rPr>
            </w:pPr>
            <w:r>
              <w:rPr>
                <w:sz w:val="4"/>
                <w:szCs w:val="4"/>
              </w:rPr>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10.16</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r:id="rId23">
              <w:r>
                <w:rPr>
                  <w:rStyle w:val="InternetLink"/>
                  <w:rFonts w:ascii="Times New Roman" w:hAnsi="Times New Roman"/>
                  <w:color w:val="0000FF"/>
                  <w:sz w:val="18"/>
                  <w:u w:val="single"/>
                </w:rPr>
                <w:t>Lease Agreement with HCP Torreyana, LLC, dated June 2, 2017</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10.19</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283"/>
              <w:jc w:val="left"/>
              <w:rPr>
                <w:sz w:val="4"/>
                <w:szCs w:val="4"/>
              </w:rPr>
            </w:pPr>
            <w:r>
              <w:rPr>
                <w:sz w:val="4"/>
                <w:szCs w:val="4"/>
              </w:rPr>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10.17</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w:anchor="bcab-ex10_17.htm">
              <w:r>
                <w:rPr>
                  <w:rStyle w:val="InternetLink"/>
                  <w:rFonts w:ascii="Times New Roman" w:hAnsi="Times New Roman"/>
                  <w:color w:val="0000FF"/>
                  <w:sz w:val="18"/>
                  <w:u w:val="single"/>
                </w:rPr>
                <w:t>First Amendment to Lease with HCP Torreyana, dated January 16, 2019</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10.18*</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r:id="rId24">
              <w:r>
                <w:rPr>
                  <w:rStyle w:val="InternetLink"/>
                  <w:rFonts w:ascii="Times New Roman" w:hAnsi="Times New Roman"/>
                  <w:color w:val="0000FF"/>
                  <w:sz w:val="18"/>
                  <w:u w:val="single"/>
                </w:rPr>
                <w:t>Master Clinical Trial Collaboration Agreement, dated January 5, 2022, by and between BioAtla, Inc. and Bristol-Myers Squibb Company</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11-04-2022</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283"/>
              <w:jc w:val="left"/>
              <w:rPr>
                <w:sz w:val="4"/>
                <w:szCs w:val="4"/>
              </w:rPr>
            </w:pPr>
            <w:r>
              <w:rPr>
                <w:sz w:val="4"/>
                <w:szCs w:val="4"/>
              </w:rPr>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10.19*</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r:id="rId25">
              <w:r>
                <w:rPr>
                  <w:rStyle w:val="InternetLink"/>
                  <w:rFonts w:ascii="Times New Roman" w:hAnsi="Times New Roman"/>
                  <w:color w:val="0000FF"/>
                  <w:sz w:val="18"/>
                  <w:u w:val="single"/>
                </w:rPr>
                <w:t>First Amendment to Master Clinical Trial Agreement between BioAtla, Inc. and Bristol-Myers Squibb Company</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10.24</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03-23-2023</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pPr>
            <w:r>
              <w:rPr/>
              <w:t> </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10.20*</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r:id="rId26">
              <w:r>
                <w:rPr>
                  <w:rStyle w:val="InternetLink"/>
                  <w:rFonts w:ascii="Times New Roman" w:hAnsi="Times New Roman"/>
                  <w:color w:val="0000FF"/>
                  <w:sz w:val="18"/>
                  <w:u w:val="single"/>
                </w:rPr>
                <w:t>China Clinical Trial Services Agreement, dated April 8, 2022, by and between BioAtla, Inc. and Himalaya Therapeutics Limited Company</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08-09-2022</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pPr>
            <w:r>
              <w:rPr/>
              <w:t> </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10.21+</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r:id="rId27">
              <w:r>
                <w:rPr>
                  <w:rStyle w:val="InternetLink"/>
                  <w:rFonts w:ascii="Times New Roman" w:hAnsi="Times New Roman"/>
                  <w:color w:val="0000FF"/>
                  <w:sz w:val="18"/>
                  <w:u w:val="single"/>
                </w:rPr>
                <w:t>Amendment No. 2 to 2020 Equity Incentive Plan</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10-K</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10.26</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pPr>
            <w:r>
              <w:rPr/>
              <w:t> </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10.22+</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r:id="rId28">
              <w:r>
                <w:rPr>
                  <w:rStyle w:val="InternetLink"/>
                  <w:rFonts w:ascii="Times New Roman" w:hAnsi="Times New Roman"/>
                  <w:color w:val="0000FF"/>
                  <w:sz w:val="18"/>
                  <w:u w:val="single"/>
                </w:rPr>
                <w:t>Amendment No. 1 to Employee Stock Purchase Plan</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10-K</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 xml:space="preserve">001-39787 </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10.27</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 xml:space="preserve">02-28-2022 </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pPr>
            <w:r>
              <w:rPr/>
              <w:t> </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10.23*</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r:id="rId29">
              <w:r>
                <w:rPr>
                  <w:rStyle w:val="InternetLink"/>
                  <w:rFonts w:ascii="Times New Roman" w:hAnsi="Times New Roman"/>
                  <w:color w:val="0000FF"/>
                  <w:sz w:val="18"/>
                  <w:u w:val="single"/>
                </w:rPr>
                <w:t>Amendment No. 3 to Global Co-Development and Collaboration Agreement among BeiGene, Ltd., BeiGene Switzerland GmbH and BioAtla, Inc.</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10-K</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 xml:space="preserve">001-39787 </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10.28</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 xml:space="preserve">02-28-2022 </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pPr>
            <w:r>
              <w:rPr/>
              <w:t> </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10.24+</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w:anchor="bcab-ex10_24.htm">
              <w:r>
                <w:rPr>
                  <w:rStyle w:val="InternetLink"/>
                  <w:rFonts w:ascii="Times New Roman" w:hAnsi="Times New Roman"/>
                  <w:color w:val="0000FF"/>
                  <w:sz w:val="18"/>
                  <w:u w:val="single"/>
                </w:rPr>
                <w:t>Form of Non-Employee Director Stock Option Agreement</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 xml:space="preserve">X </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10.25+</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w:anchor="bcab-ex10_25.htm">
              <w:r>
                <w:rPr>
                  <w:rStyle w:val="InternetLink"/>
                  <w:rFonts w:ascii="Times New Roman" w:hAnsi="Times New Roman"/>
                  <w:color w:val="0000FF"/>
                  <w:sz w:val="18"/>
                  <w:u w:val="single"/>
                </w:rPr>
                <w:t>Form of Employee Stock Option Agreement</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 xml:space="preserve">X </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10.26+</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r:id="rId30">
              <w:r>
                <w:rPr>
                  <w:rStyle w:val="InternetLink"/>
                  <w:rFonts w:ascii="Times New Roman" w:hAnsi="Times New Roman"/>
                  <w:color w:val="0000FF"/>
                  <w:sz w:val="18"/>
                  <w:u w:val="single"/>
                </w:rPr>
                <w:t>Amended and Restated BioAtla Director Compensation Policy</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10.31</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03-23-2023</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pPr>
            <w:r>
              <w:rPr/>
              <w:t> </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10.27+</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r:id="rId31">
              <w:r>
                <w:rPr>
                  <w:rStyle w:val="InternetLink"/>
                  <w:rFonts w:ascii="Times New Roman" w:hAnsi="Times New Roman"/>
                  <w:color w:val="0000FF"/>
                  <w:sz w:val="18"/>
                  <w:u w:val="single"/>
                </w:rPr>
                <w:t>BioAtla, Inc. Management Change of Control Severance Plan</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09-21-2022</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pPr>
            <w:r>
              <w:rPr/>
              <w:t> </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10.28</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r:id="rId32">
              <w:r>
                <w:rPr>
                  <w:rStyle w:val="InternetLink"/>
                  <w:rFonts w:ascii="Times New Roman" w:hAnsi="Times New Roman"/>
                  <w:color w:val="0000FF"/>
                  <w:sz w:val="18"/>
                  <w:u w:val="single"/>
                </w:rPr>
                <w:t>Open Market Sale Agreement</w:t>
              </w:r>
            </w:hyperlink>
            <w:hyperlink r:id="rId33">
              <w:r>
                <w:rPr>
                  <w:rStyle w:val="InternetLink"/>
                  <w:rFonts w:ascii="Times New Roman" w:hAnsi="Times New Roman"/>
                  <w:color w:val="0000FF"/>
                  <w:sz w:val="12"/>
                  <w:u w:val="single"/>
                </w:rPr>
                <w:t>SM</w:t>
              </w:r>
            </w:hyperlink>
            <w:hyperlink r:id="rId34">
              <w:r>
                <w:rPr>
                  <w:rStyle w:val="InternetLink"/>
                  <w:rFonts w:ascii="Times New Roman" w:hAnsi="Times New Roman"/>
                  <w:color w:val="0000FF"/>
                  <w:sz w:val="18"/>
                  <w:u w:val="single"/>
                </w:rPr>
                <w:t xml:space="preserve"> dated as of January 6, 2023, between BioAtla, Inc. and Jefferies LLC</w:t>
              </w:r>
            </w:hyperlink>
            <w:r>
              <w:rPr>
                <w:rFonts w:ascii="Times New Roman" w:hAnsi="Times New Roman"/>
                <w:color w:val="000000"/>
                <w:sz w:val="18"/>
              </w:rPr>
              <w:t xml:space="preserve"> </w:t>
            </w:r>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01-06-2023</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pPr>
            <w:r>
              <w:rPr/>
              <w:t> </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23.1</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w:anchor="bcab-ex23_1.htm">
              <w:r>
                <w:rPr>
                  <w:rStyle w:val="InternetLink"/>
                  <w:rFonts w:ascii="Times New Roman" w:hAnsi="Times New Roman"/>
                  <w:color w:val="0000FF"/>
                  <w:sz w:val="18"/>
                  <w:u w:val="single"/>
                </w:rPr>
                <w:t>Consent of Independent Registered Public Accounting Firm</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24.1</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w:anchor="signatures">
              <w:r>
                <w:rPr>
                  <w:rStyle w:val="InternetLink"/>
                  <w:rFonts w:ascii="Times New Roman" w:hAnsi="Times New Roman"/>
                  <w:color w:val="0000FF"/>
                  <w:sz w:val="18"/>
                  <w:u w:val="single"/>
                </w:rPr>
                <w:t>Power of Attorney (included on signature page)</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31.1</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w:anchor="bcab-ex31_1.htm">
              <w:r>
                <w:rPr>
                  <w:rStyle w:val="InternetLink"/>
                  <w:rFonts w:ascii="Times New Roman" w:hAnsi="Times New Roman"/>
                  <w:color w:val="0000FF"/>
                  <w:sz w:val="18"/>
                  <w:u w:val="single"/>
                </w:rPr>
                <w:t>Certification of Chief Executive Officer pursuant to Rule 13a-14(a) and 15d-14(a), as adopted pursuant to Section 302 of the Sarbanes-Oxley Act of 2002.</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31.2</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w:anchor="bcab-ex31_2.htm">
              <w:r>
                <w:rPr>
                  <w:rStyle w:val="InternetLink"/>
                  <w:rFonts w:ascii="Times New Roman" w:hAnsi="Times New Roman"/>
                  <w:color w:val="0000FF"/>
                  <w:sz w:val="18"/>
                  <w:u w:val="single"/>
                </w:rPr>
                <w:t>Certification of Chief Financial Officer pursuant to Rule 13a-14(a) and 15d-14(a), as adopted pursuant to Section 302 of the Sarbanes-Oxley Act of 2002.</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32.1</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w:anchor="bcab-ex32_1.htm">
              <w:r>
                <w:rPr>
                  <w:rStyle w:val="InternetLink"/>
                  <w:rFonts w:ascii="Times New Roman" w:hAnsi="Times New Roman"/>
                  <w:color w:val="0000FF"/>
                  <w:sz w:val="18"/>
                  <w:u w:val="single"/>
                </w:rPr>
                <w:t>Certification of Chief Executive Officer and Chief Financial Officer pursuant to 18.U.S.C. Section 1350, as adopted pursuant to Section 906 of the Sarbanes Oxley Act of 2002.</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97.1</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pPr>
            <w:hyperlink w:anchor="bcab-ex97_1.htm">
              <w:r>
                <w:rPr>
                  <w:rStyle w:val="InternetLink"/>
                  <w:rFonts w:ascii="Times New Roman" w:hAnsi="Times New Roman"/>
                  <w:color w:val="0000FF"/>
                  <w:sz w:val="18"/>
                  <w:u w:val="single"/>
                </w:rPr>
                <w:t>Compensation Recovery Policy of BioAtla, Inc.</w:t>
              </w:r>
            </w:hyperlink>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110"/>
              <w:jc w:val="left"/>
              <w:rPr/>
            </w:pPr>
            <w:r>
              <w:rPr/>
              <w:t> </w:t>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101.INS</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 xml:space="preserve">Inline XBRL Instance Document - the instance document does not appear in the Interactive Data File because its XBRL tags are embedded within the Inline XBRL document. </w:t>
            </w:r>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6"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101.SCH</w:t>
            </w:r>
          </w:p>
        </w:tc>
        <w:tc>
          <w:tcPr>
            <w:tcW w:w="146" w:type="dxa"/>
            <w:tcBorders/>
            <w:vAlign w:val="center"/>
          </w:tcPr>
          <w:p>
            <w:pPr>
              <w:pStyle w:val="TableContents"/>
              <w:bidi w:val="0"/>
              <w:spacing w:before="0" w:after="110"/>
              <w:jc w:val="left"/>
              <w:rPr/>
            </w:pPr>
            <w:r>
              <w:rPr/>
              <w:t> </w:t>
            </w:r>
          </w:p>
        </w:tc>
        <w:tc>
          <w:tcPr>
            <w:tcW w:w="5115" w:type="dxa"/>
            <w:tcBorders/>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146" w:type="dxa"/>
            <w:tcBorders/>
            <w:vAlign w:val="center"/>
          </w:tcPr>
          <w:p>
            <w:pPr>
              <w:pStyle w:val="TableContents"/>
              <w:bidi w:val="0"/>
              <w:spacing w:before="0" w:after="110"/>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110"/>
              <w:jc w:val="left"/>
              <w:rPr/>
            </w:pPr>
            <w:r>
              <w:rPr/>
              <w:t> </w:t>
            </w:r>
          </w:p>
        </w:tc>
        <w:tc>
          <w:tcPr>
            <w:tcW w:w="1062" w:type="dxa"/>
            <w:tcBorders/>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vAlign w:val="center"/>
          </w:tcPr>
          <w:p>
            <w:pPr>
              <w:pStyle w:val="TableContents"/>
              <w:bidi w:val="0"/>
              <w:spacing w:before="0" w:after="283"/>
              <w:jc w:val="left"/>
              <w:rPr/>
            </w:pPr>
            <w:r>
              <w:rPr/>
              <w:t> </w:t>
            </w:r>
          </w:p>
        </w:tc>
        <w:tc>
          <w:tcPr>
            <w:tcW w:w="5115"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(formatted in iXBRL and contained in Exhibit 101)</w:t>
            </w:r>
          </w:p>
        </w:tc>
        <w:tc>
          <w:tcPr>
            <w:tcW w:w="146"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bl>
    <w:tbl>
      <w:tblPr>
        <w:tblW w:w="7577" w:type="dxa"/>
        <w:jc w:val="left"/>
        <w:tblInd w:w="0" w:type="dxa"/>
        <w:tblLayout w:type="fixed"/>
        <w:tblCellMar>
          <w:top w:w="28" w:type="dxa"/>
          <w:left w:w="28" w:type="dxa"/>
          <w:bottom w:w="28" w:type="dxa"/>
          <w:right w:w="28" w:type="dxa"/>
        </w:tblCellMar>
      </w:tblPr>
      <w:tblGrid>
        <w:gridCol w:w="226"/>
        <w:gridCol w:w="7351"/>
      </w:tblGrid>
      <w:tr>
        <w:trPr/>
        <w:tc>
          <w:tcPr>
            <w:tcW w:w="226"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Furnished and not filed.</w:t>
            </w:r>
          </w:p>
        </w:tc>
      </w:tr>
      <w:tr>
        <w:trPr/>
        <w:tc>
          <w:tcPr>
            <w:tcW w:w="2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Indicates management contract or compensatory plan.</w:t>
            </w:r>
          </w:p>
        </w:tc>
      </w:tr>
      <w:tr>
        <w:trPr/>
        <w:tc>
          <w:tcPr>
            <w:tcW w:w="2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Portions of this exhibit have been redacted in accordance with Item 601(b)(10)(iv) of Regulation S-K.</w:t>
            </w:r>
          </w:p>
        </w:tc>
      </w:tr>
    </w:tbl>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bookmarkStart w:id="44" w:name="signatures"/>
      <w:bookmarkEnd w:id="44"/>
      <w:r>
        <w:rPr>
          <w:rFonts w:ascii="Times New Roman" w:hAnsi="Times New Roman"/>
          <w:b/>
          <w:color w:val="000000"/>
          <w:sz w:val="18"/>
        </w:rPr>
        <w:t>SIGNATURES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Pursuant to the requirements of Section 13 or 15(d) of the Securities Exchange Act of 1934, the Registrant has duly caused this report to be signed on its behalf by the undersigned, thereunto duly authorized.</w:t>
      </w:r>
    </w:p>
    <w:tbl>
      <w:tblPr>
        <w:tblW w:w="6812" w:type="dxa"/>
        <w:jc w:val="left"/>
        <w:tblInd w:w="0" w:type="dxa"/>
        <w:tblLayout w:type="fixed"/>
        <w:tblCellMar>
          <w:top w:w="28" w:type="dxa"/>
          <w:left w:w="28" w:type="dxa"/>
          <w:bottom w:w="28" w:type="dxa"/>
          <w:right w:w="28" w:type="dxa"/>
        </w:tblCellMar>
      </w:tblPr>
      <w:tblGrid>
        <w:gridCol w:w="1681"/>
        <w:gridCol w:w="146"/>
        <w:gridCol w:w="146"/>
        <w:gridCol w:w="266"/>
        <w:gridCol w:w="361"/>
        <w:gridCol w:w="146"/>
        <w:gridCol w:w="4066"/>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6" w:type="dxa"/>
            <w:tcBorders/>
            <w:vAlign w:val="center"/>
          </w:tcPr>
          <w:p>
            <w:pPr>
              <w:pStyle w:val="TableContents"/>
              <w:bidi w:val="0"/>
              <w:spacing w:before="0" w:after="283"/>
              <w:jc w:val="left"/>
              <w:rPr/>
            </w:pPr>
            <w:r>
              <w:rPr/>
              <w:t> </w:t>
            </w:r>
          </w:p>
        </w:tc>
      </w:tr>
      <w:tr>
        <w:trPr/>
        <w:tc>
          <w:tcPr>
            <w:tcW w:w="16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ind w:left="0" w:right="0" w:firstLine="180"/>
              <w:jc w:val="left"/>
              <w:rPr>
                <w:sz w:val="4"/>
                <w:szCs w:val="4"/>
              </w:rPr>
            </w:pPr>
            <w:r>
              <w:rPr>
                <w:sz w:val="4"/>
                <w:szCs w:val="4"/>
              </w:rPr>
            </w:r>
          </w:p>
        </w:tc>
        <w:tc>
          <w:tcPr>
            <w:tcW w:w="4573" w:type="dxa"/>
            <w:gridSpan w:val="3"/>
            <w:tcBorders/>
            <w:vAlign w:val="center"/>
          </w:tcPr>
          <w:p>
            <w:pPr>
              <w:pStyle w:val="TableContents"/>
              <w:pBdr/>
              <w:bidi w:val="0"/>
              <w:spacing w:before="0" w:after="283"/>
              <w:ind w:left="0" w:right="0" w:hanging="180"/>
              <w:jc w:val="left"/>
              <w:rPr>
                <w:rFonts w:ascii="Times New Roman" w:hAnsi="Times New Roman"/>
                <w:b/>
                <w:color w:val="000000"/>
                <w:sz w:val="18"/>
              </w:rPr>
            </w:pPr>
            <w:r>
              <w:rPr>
                <w:rFonts w:ascii="Times New Roman" w:hAnsi="Times New Roman"/>
                <w:b/>
                <w:color w:val="000000"/>
                <w:sz w:val="18"/>
              </w:rPr>
              <w:t>BioAtla, Inc.</w:t>
            </w:r>
          </w:p>
        </w:tc>
      </w:tr>
      <w:tr>
        <w:trPr/>
        <w:tc>
          <w:tcPr>
            <w:tcW w:w="1681" w:type="dxa"/>
            <w:tcBorders/>
            <w:vAlign w:val="center"/>
          </w:tcPr>
          <w:p>
            <w:pPr>
              <w:pStyle w:val="TableContents"/>
              <w:bidi w:val="0"/>
              <w:spacing w:before="0" w:after="283"/>
              <w:jc w:val="left"/>
              <w:rPr/>
            </w:pPr>
            <w:r>
              <w:rPr/>
              <w:t> </w:t>
            </w:r>
          </w:p>
        </w:tc>
        <w:tc>
          <w:tcPr>
            <w:tcW w:w="292" w:type="dxa"/>
            <w:gridSpan w:val="2"/>
            <w:tcBorders/>
            <w:vAlign w:val="center"/>
          </w:tcPr>
          <w:p>
            <w:pPr>
              <w:pStyle w:val="TableContents"/>
              <w:bidi w:val="0"/>
              <w:spacing w:before="0" w:after="283"/>
              <w:jc w:val="left"/>
              <w:rPr/>
            </w:pPr>
            <w:r>
              <w:rPr/>
              <w:t> </w:t>
            </w:r>
          </w:p>
        </w:tc>
        <w:tc>
          <w:tcPr>
            <w:tcW w:w="627" w:type="dxa"/>
            <w:gridSpan w:val="2"/>
            <w:tcBorders/>
            <w:vAlign w:val="center"/>
          </w:tcPr>
          <w:p>
            <w:pPr>
              <w:pStyle w:val="TableContents"/>
              <w:bidi w:val="0"/>
              <w:spacing w:before="0" w:after="283"/>
              <w:jc w:val="left"/>
              <w:rPr/>
            </w:pPr>
            <w:r>
              <w:rPr/>
              <w:t> </w:t>
            </w:r>
          </w:p>
        </w:tc>
        <w:tc>
          <w:tcPr>
            <w:tcW w:w="4212" w:type="dxa"/>
            <w:gridSpan w:val="2"/>
            <w:tcBorders/>
            <w:vAlign w:val="center"/>
          </w:tcPr>
          <w:p>
            <w:pPr>
              <w:pStyle w:val="TableContents"/>
              <w:bidi w:val="0"/>
              <w:spacing w:before="0" w:after="283"/>
              <w:jc w:val="left"/>
              <w:rPr/>
            </w:pPr>
            <w:r>
              <w:rPr/>
              <w:t> </w:t>
            </w:r>
          </w:p>
        </w:tc>
      </w:tr>
      <w:tr>
        <w:trPr/>
        <w:tc>
          <w:tcPr>
            <w:tcW w:w="168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March 26, 2024</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Jay M. Short, Ph.D.</w:t>
            </w:r>
          </w:p>
        </w:tc>
      </w:tr>
      <w:tr>
        <w:trPr/>
        <w:tc>
          <w:tcPr>
            <w:tcW w:w="16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Jay M. Short, Ph.D.</w:t>
            </w:r>
          </w:p>
        </w:tc>
      </w:tr>
      <w:tr>
        <w:trPr/>
        <w:tc>
          <w:tcPr>
            <w:tcW w:w="16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jc w:val="left"/>
              <w:rPr>
                <w:rFonts w:ascii="Times New Roman" w:hAnsi="Times New Roman"/>
                <w:color w:val="000000"/>
                <w:sz w:val="18"/>
              </w:rPr>
            </w:pPr>
            <w:r>
              <w:rPr>
                <w:rFonts w:ascii="Times New Roman" w:hAnsi="Times New Roman"/>
                <w:color w:val="000000"/>
                <w:sz w:val="18"/>
              </w:rPr>
              <w:t>Chief Executive Officer</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Executive Officer and Authorized Signatory)</w:t>
            </w:r>
          </w:p>
        </w:tc>
      </w:tr>
    </w:tbl>
    <w:p>
      <w:pPr>
        <w:pStyle w:val="TextBody"/>
        <w:bidi w:val="0"/>
        <w:spacing w:before="198" w:after="283"/>
        <w:jc w:val="left"/>
        <w:rPr>
          <w:rFonts w:ascii="Times New Roman" w:hAnsi="Times New Roman"/>
          <w:color w:val="000000"/>
          <w:sz w:val="18"/>
        </w:rPr>
      </w:pPr>
      <w:r>
        <w:rPr>
          <w:rFonts w:ascii="Times New Roman" w:hAnsi="Times New Roman"/>
          <w:color w:val="000000"/>
          <w:sz w:val="18"/>
        </w:rPr>
        <w:t>KNOW ALL PERSONS BY THESE PRESENTS, that each person whose signature appears below constitutes and appoints Jay M. Short, Ph.D. and Richard A. Waldron as his or her true and lawful attorneys-in-fact, and each of them,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either of them, or his or their substitute or substitutes may do or cause to be done by virtue hereof.</w:t>
      </w:r>
    </w:p>
    <w:p>
      <w:pPr>
        <w:pStyle w:val="TextBody"/>
        <w:bidi w:val="0"/>
        <w:spacing w:before="198" w:after="283"/>
        <w:jc w:val="left"/>
        <w:rPr>
          <w:rFonts w:ascii="Times New Roman" w:hAnsi="Times New Roman"/>
          <w:color w:val="000000"/>
          <w:sz w:val="18"/>
        </w:rPr>
      </w:pPr>
      <w:r>
        <w:rPr>
          <w:rFonts w:ascii="Times New Roman" w:hAnsi="Times New Roman"/>
          <w:color w:val="000000"/>
          <w:sz w:val="18"/>
        </w:rPr>
        <w:t>Pursuant to the requirements of the Securities Exchange Act of 1934, this Annual Report on Form 10-K has been signed below by the following persons on behalf of the registrant and in the capacities and on the dates indicated.</w:t>
      </w:r>
    </w:p>
    <w:tbl>
      <w:tblPr>
        <w:tblW w:w="7450" w:type="dxa"/>
        <w:jc w:val="left"/>
        <w:tblInd w:w="0" w:type="dxa"/>
        <w:tblLayout w:type="fixed"/>
        <w:tblCellMar>
          <w:top w:w="28" w:type="dxa"/>
          <w:left w:w="28" w:type="dxa"/>
          <w:bottom w:w="28" w:type="dxa"/>
          <w:right w:w="28" w:type="dxa"/>
        </w:tblCellMar>
      </w:tblPr>
      <w:tblGrid>
        <w:gridCol w:w="2206"/>
        <w:gridCol w:w="326"/>
        <w:gridCol w:w="3481"/>
        <w:gridCol w:w="146"/>
        <w:gridCol w:w="1291"/>
      </w:tblGrid>
      <w:tr>
        <w:trPr/>
        <w:tc>
          <w:tcPr>
            <w:tcW w:w="220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34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left"/>
              <w:rPr/>
            </w:pPr>
            <w:r>
              <w:rPr/>
              <w:t> </w:t>
            </w:r>
          </w:p>
        </w:tc>
      </w:tr>
      <w:tr>
        <w:trPr/>
        <w:tc>
          <w:tcPr>
            <w:tcW w:w="2206"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SIGNATURE</w:t>
            </w:r>
          </w:p>
        </w:tc>
        <w:tc>
          <w:tcPr>
            <w:tcW w:w="32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DATE</w:t>
            </w:r>
          </w:p>
        </w:tc>
      </w:tr>
      <w:tr>
        <w:trPr/>
        <w:tc>
          <w:tcPr>
            <w:tcW w:w="2206" w:type="dxa"/>
            <w:tcBorders/>
            <w:vAlign w:val="center"/>
          </w:tcPr>
          <w:p>
            <w:pPr>
              <w:pStyle w:val="TableContents"/>
              <w:bidi w:val="0"/>
              <w:spacing w:before="0" w:after="283"/>
              <w:jc w:val="left"/>
              <w:rPr/>
            </w:pPr>
            <w:r>
              <w:rPr/>
              <w:t> </w:t>
            </w:r>
          </w:p>
        </w:tc>
        <w:tc>
          <w:tcPr>
            <w:tcW w:w="3807" w:type="dxa"/>
            <w:gridSpan w:val="2"/>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r>
      <w:tr>
        <w:trPr/>
        <w:tc>
          <w:tcPr>
            <w:tcW w:w="2206" w:type="dxa"/>
            <w:tcBorders/>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Jay M. Short, Ph.D.</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Jay M. Short, Ph.D.</w:t>
            </w:r>
          </w:p>
        </w:tc>
        <w:tc>
          <w:tcPr>
            <w:tcW w:w="32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jc w:val="left"/>
              <w:rPr>
                <w:rFonts w:ascii="Times New Roman" w:hAnsi="Times New Roman"/>
                <w:color w:val="000000"/>
                <w:sz w:val="18"/>
              </w:rPr>
            </w:pPr>
            <w:r>
              <w:rPr>
                <w:rFonts w:ascii="Times New Roman" w:hAnsi="Times New Roman"/>
                <w:color w:val="000000"/>
                <w:sz w:val="18"/>
              </w:rPr>
              <w:t>Chief Executive Officer and Director</w:t>
            </w:r>
          </w:p>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(Principal Executive Officer)</w:t>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26, 2024</w:t>
            </w:r>
          </w:p>
        </w:tc>
      </w:tr>
      <w:tr>
        <w:trPr/>
        <w:tc>
          <w:tcPr>
            <w:tcW w:w="2206" w:type="dxa"/>
            <w:tcBorders/>
            <w:vAlign w:val="center"/>
          </w:tcPr>
          <w:p>
            <w:pPr>
              <w:pStyle w:val="TableContents"/>
              <w:bidi w:val="0"/>
              <w:spacing w:before="0" w:after="283"/>
              <w:jc w:val="left"/>
              <w:rPr/>
            </w:pPr>
            <w:r>
              <w:rPr/>
              <w:t> </w:t>
            </w:r>
          </w:p>
        </w:tc>
        <w:tc>
          <w:tcPr>
            <w:tcW w:w="3807" w:type="dxa"/>
            <w:gridSpan w:val="2"/>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r>
      <w:tr>
        <w:trPr/>
        <w:tc>
          <w:tcPr>
            <w:tcW w:w="2206" w:type="dxa"/>
            <w:tcBorders/>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Richard A. Waldron</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Richard A. Waldron</w:t>
            </w:r>
          </w:p>
        </w:tc>
        <w:tc>
          <w:tcPr>
            <w:tcW w:w="326" w:type="dxa"/>
            <w:tcBorders/>
            <w:vAlign w:val="center"/>
          </w:tcPr>
          <w:p>
            <w:pPr>
              <w:pStyle w:val="TableContents"/>
              <w:bidi w:val="0"/>
              <w:spacing w:before="0" w:after="283"/>
              <w:ind w:left="0" w:right="0" w:firstLine="180"/>
              <w:jc w:val="left"/>
              <w:rPr>
                <w:sz w:val="4"/>
                <w:szCs w:val="4"/>
              </w:rPr>
            </w:pPr>
            <w:r>
              <w:rPr>
                <w:sz w:val="4"/>
                <w:szCs w:val="4"/>
              </w:rPr>
            </w:r>
          </w:p>
        </w:tc>
        <w:tc>
          <w:tcPr>
            <w:tcW w:w="3481" w:type="dxa"/>
            <w:tcBorders/>
            <w:vAlign w:val="center"/>
          </w:tcPr>
          <w:p>
            <w:pPr>
              <w:pStyle w:val="TableContents"/>
              <w:pBdr/>
              <w:bidi w:val="0"/>
              <w:ind w:left="0" w:right="0" w:hanging="180"/>
              <w:jc w:val="left"/>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ind w:left="0" w:right="0" w:firstLine="180"/>
              <w:jc w:val="left"/>
              <w:rPr>
                <w:rFonts w:ascii="Times New Roman" w:hAnsi="Times New Roman"/>
                <w:i/>
                <w:color w:val="000000"/>
                <w:sz w:val="18"/>
              </w:rPr>
            </w:pPr>
            <w:r>
              <w:rPr>
                <w:rFonts w:ascii="Times New Roman" w:hAnsi="Times New Roman"/>
                <w:i/>
                <w:color w:val="000000"/>
                <w:sz w:val="18"/>
              </w:rPr>
              <w:t>(Principal Financial and Accounting Officer)</w:t>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26, 2024</w:t>
            </w:r>
          </w:p>
        </w:tc>
      </w:tr>
      <w:tr>
        <w:trPr/>
        <w:tc>
          <w:tcPr>
            <w:tcW w:w="2206" w:type="dxa"/>
            <w:tcBorders/>
            <w:vAlign w:val="center"/>
          </w:tcPr>
          <w:p>
            <w:pPr>
              <w:pStyle w:val="TableContents"/>
              <w:bidi w:val="0"/>
              <w:spacing w:before="0" w:after="283"/>
              <w:jc w:val="left"/>
              <w:rPr/>
            </w:pPr>
            <w:r>
              <w:rPr/>
              <w:t> </w:t>
            </w:r>
          </w:p>
        </w:tc>
        <w:tc>
          <w:tcPr>
            <w:tcW w:w="3807" w:type="dxa"/>
            <w:gridSpan w:val="2"/>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r>
      <w:tr>
        <w:trPr/>
        <w:tc>
          <w:tcPr>
            <w:tcW w:w="2206" w:type="dxa"/>
            <w:tcBorders/>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Scott Smith</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Scott Smith</w:t>
            </w:r>
          </w:p>
        </w:tc>
        <w:tc>
          <w:tcPr>
            <w:tcW w:w="326" w:type="dxa"/>
            <w:tcBorders/>
            <w:vAlign w:val="center"/>
          </w:tcPr>
          <w:p>
            <w:pPr>
              <w:pStyle w:val="TableContents"/>
              <w:bidi w:val="0"/>
              <w:spacing w:before="0" w:after="283"/>
              <w:ind w:left="0" w:right="0" w:firstLine="180"/>
              <w:jc w:val="left"/>
              <w:rPr/>
            </w:pPr>
            <w:r>
              <w:rPr/>
              <w:t> </w:t>
            </w:r>
          </w:p>
        </w:tc>
        <w:tc>
          <w:tcPr>
            <w:tcW w:w="3481" w:type="dxa"/>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26, 2024</w:t>
            </w:r>
          </w:p>
        </w:tc>
      </w:tr>
      <w:tr>
        <w:trPr/>
        <w:tc>
          <w:tcPr>
            <w:tcW w:w="2206" w:type="dxa"/>
            <w:tcBorders/>
            <w:vAlign w:val="center"/>
          </w:tcPr>
          <w:p>
            <w:pPr>
              <w:pStyle w:val="TableContents"/>
              <w:bidi w:val="0"/>
              <w:spacing w:before="0" w:after="283"/>
              <w:jc w:val="center"/>
              <w:rPr/>
            </w:pPr>
            <w:r>
              <w:rPr/>
              <w:t> </w:t>
            </w:r>
          </w:p>
        </w:tc>
        <w:tc>
          <w:tcPr>
            <w:tcW w:w="3807" w:type="dxa"/>
            <w:gridSpan w:val="2"/>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r>
      <w:tr>
        <w:trPr/>
        <w:tc>
          <w:tcPr>
            <w:tcW w:w="2206" w:type="dxa"/>
            <w:tcBorders/>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Lawrence Steinman, M.D.</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Lawrence Steinman, M.D.</w:t>
            </w:r>
          </w:p>
        </w:tc>
        <w:tc>
          <w:tcPr>
            <w:tcW w:w="326" w:type="dxa"/>
            <w:tcBorders/>
            <w:vAlign w:val="center"/>
          </w:tcPr>
          <w:p>
            <w:pPr>
              <w:pStyle w:val="TableContents"/>
              <w:bidi w:val="0"/>
              <w:spacing w:before="0" w:after="283"/>
              <w:ind w:left="0" w:right="0" w:firstLine="180"/>
              <w:jc w:val="left"/>
              <w:rPr>
                <w:sz w:val="4"/>
                <w:szCs w:val="4"/>
              </w:rPr>
            </w:pPr>
            <w:r>
              <w:rPr>
                <w:sz w:val="4"/>
                <w:szCs w:val="4"/>
              </w:rPr>
            </w:r>
          </w:p>
        </w:tc>
        <w:tc>
          <w:tcPr>
            <w:tcW w:w="3481" w:type="dxa"/>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26, 2024</w:t>
            </w:r>
          </w:p>
        </w:tc>
      </w:tr>
      <w:tr>
        <w:trPr/>
        <w:tc>
          <w:tcPr>
            <w:tcW w:w="2206" w:type="dxa"/>
            <w:tcBorders/>
            <w:vAlign w:val="center"/>
          </w:tcPr>
          <w:p>
            <w:pPr>
              <w:pStyle w:val="TableContents"/>
              <w:bidi w:val="0"/>
              <w:spacing w:before="0" w:after="283"/>
              <w:jc w:val="left"/>
              <w:rPr/>
            </w:pPr>
            <w:r>
              <w:rPr/>
              <w:t> </w:t>
            </w:r>
          </w:p>
        </w:tc>
        <w:tc>
          <w:tcPr>
            <w:tcW w:w="3807" w:type="dxa"/>
            <w:gridSpan w:val="2"/>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r>
      <w:tr>
        <w:trPr/>
        <w:tc>
          <w:tcPr>
            <w:tcW w:w="2206" w:type="dxa"/>
            <w:tcBorders/>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Mary Ann Gray, Ph.D.</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Mary Ann Gray, Ph.D.</w:t>
            </w:r>
          </w:p>
        </w:tc>
        <w:tc>
          <w:tcPr>
            <w:tcW w:w="326" w:type="dxa"/>
            <w:tcBorders/>
            <w:vAlign w:val="center"/>
          </w:tcPr>
          <w:p>
            <w:pPr>
              <w:pStyle w:val="TableContents"/>
              <w:bidi w:val="0"/>
              <w:spacing w:before="0" w:after="283"/>
              <w:ind w:left="0" w:right="0" w:firstLine="180"/>
              <w:jc w:val="left"/>
              <w:rPr>
                <w:sz w:val="4"/>
                <w:szCs w:val="4"/>
              </w:rPr>
            </w:pPr>
            <w:r>
              <w:rPr>
                <w:sz w:val="4"/>
                <w:szCs w:val="4"/>
              </w:rPr>
            </w:r>
          </w:p>
        </w:tc>
        <w:tc>
          <w:tcPr>
            <w:tcW w:w="3481" w:type="dxa"/>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26, 2024</w:t>
            </w:r>
          </w:p>
        </w:tc>
      </w:tr>
      <w:tr>
        <w:trPr/>
        <w:tc>
          <w:tcPr>
            <w:tcW w:w="2206" w:type="dxa"/>
            <w:tcBorders/>
            <w:vAlign w:val="center"/>
          </w:tcPr>
          <w:p>
            <w:pPr>
              <w:pStyle w:val="TableContents"/>
              <w:bidi w:val="0"/>
              <w:spacing w:before="0" w:after="283"/>
              <w:jc w:val="left"/>
              <w:rPr/>
            </w:pPr>
            <w:r>
              <w:rPr/>
              <w:t> </w:t>
            </w:r>
          </w:p>
        </w:tc>
        <w:tc>
          <w:tcPr>
            <w:tcW w:w="3807" w:type="dxa"/>
            <w:gridSpan w:val="2"/>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r>
      <w:tr>
        <w:trPr/>
        <w:tc>
          <w:tcPr>
            <w:tcW w:w="2206" w:type="dxa"/>
            <w:tcBorders/>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Susan Moran, M.D.</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Susan Moran, M.D.</w:t>
            </w:r>
          </w:p>
        </w:tc>
        <w:tc>
          <w:tcPr>
            <w:tcW w:w="326" w:type="dxa"/>
            <w:tcBorders/>
            <w:vAlign w:val="center"/>
          </w:tcPr>
          <w:p>
            <w:pPr>
              <w:pStyle w:val="TableContents"/>
              <w:bidi w:val="0"/>
              <w:spacing w:before="0" w:after="283"/>
              <w:ind w:left="0" w:right="0" w:firstLine="180"/>
              <w:jc w:val="left"/>
              <w:rPr>
                <w:sz w:val="4"/>
                <w:szCs w:val="4"/>
              </w:rPr>
            </w:pPr>
            <w:r>
              <w:rPr>
                <w:sz w:val="4"/>
                <w:szCs w:val="4"/>
              </w:rPr>
            </w:r>
          </w:p>
        </w:tc>
        <w:tc>
          <w:tcPr>
            <w:tcW w:w="3481" w:type="dxa"/>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26, 2024</w:t>
            </w:r>
          </w:p>
        </w:tc>
      </w:tr>
      <w:tr>
        <w:trPr/>
        <w:tc>
          <w:tcPr>
            <w:tcW w:w="2206"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ind w:left="0" w:right="0" w:firstLine="180"/>
              <w:jc w:val="left"/>
              <w:rPr/>
            </w:pPr>
            <w:r>
              <w:rPr/>
              <w:t> </w:t>
            </w:r>
          </w:p>
        </w:tc>
        <w:tc>
          <w:tcPr>
            <w:tcW w:w="3481" w:type="dxa"/>
            <w:tcBorders/>
            <w:vAlign w:val="center"/>
          </w:tcPr>
          <w:p>
            <w:pPr>
              <w:pStyle w:val="TableContents"/>
              <w:pBdr/>
              <w:bidi w:val="0"/>
              <w:spacing w:before="0" w:after="283"/>
              <w:ind w:left="0" w:right="0" w:hanging="180"/>
              <w:jc w:val="left"/>
              <w:rPr/>
            </w:pPr>
            <w:r>
              <w:rPr/>
              <w:t> </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center"/>
              <w:rPr/>
            </w:pPr>
            <w:r>
              <w:rPr/>
              <w:t> </w:t>
            </w:r>
          </w:p>
        </w:tc>
      </w:tr>
      <w:tr>
        <w:trPr/>
        <w:tc>
          <w:tcPr>
            <w:tcW w:w="2206" w:type="dxa"/>
            <w:tcBorders/>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Sylvia McBrinn</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Sylvia McBrinn</w:t>
            </w:r>
          </w:p>
        </w:tc>
        <w:tc>
          <w:tcPr>
            <w:tcW w:w="326" w:type="dxa"/>
            <w:tcBorders/>
            <w:vAlign w:val="center"/>
          </w:tcPr>
          <w:p>
            <w:pPr>
              <w:pStyle w:val="TableContents"/>
              <w:bidi w:val="0"/>
              <w:spacing w:before="0" w:after="283"/>
              <w:ind w:left="0" w:right="0" w:firstLine="180"/>
              <w:jc w:val="left"/>
              <w:rPr/>
            </w:pPr>
            <w:r>
              <w:rPr/>
              <w:t> </w:t>
            </w:r>
          </w:p>
        </w:tc>
        <w:tc>
          <w:tcPr>
            <w:tcW w:w="3481" w:type="dxa"/>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26, 2024</w:t>
            </w:r>
          </w:p>
        </w:tc>
      </w:tr>
      <w:tr>
        <w:trPr/>
        <w:tc>
          <w:tcPr>
            <w:tcW w:w="2206"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ind w:left="0" w:right="0" w:firstLine="180"/>
              <w:jc w:val="left"/>
              <w:rPr/>
            </w:pPr>
            <w:r>
              <w:rPr/>
              <w:t> </w:t>
            </w:r>
          </w:p>
        </w:tc>
        <w:tc>
          <w:tcPr>
            <w:tcW w:w="3481" w:type="dxa"/>
            <w:tcBorders/>
            <w:vAlign w:val="center"/>
          </w:tcPr>
          <w:p>
            <w:pPr>
              <w:pStyle w:val="TableContents"/>
              <w:pBdr/>
              <w:bidi w:val="0"/>
              <w:spacing w:before="0" w:after="283"/>
              <w:ind w:left="0" w:right="0" w:hanging="180"/>
              <w:jc w:val="left"/>
              <w:rPr/>
            </w:pPr>
            <w:r>
              <w:rPr/>
              <w:t> </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center"/>
              <w:rPr/>
            </w:pPr>
            <w:r>
              <w:rPr/>
              <w:t> </w:t>
            </w:r>
          </w:p>
        </w:tc>
      </w:tr>
      <w:tr>
        <w:trPr/>
        <w:tc>
          <w:tcPr>
            <w:tcW w:w="2206" w:type="dxa"/>
            <w:tcBorders/>
            <w:vAlign w:val="center"/>
          </w:tcPr>
          <w:p>
            <w:pPr>
              <w:pStyle w:val="TableContents"/>
              <w:pBdr>
                <w:bottom w:val="single" w:sz="5" w:space="1" w:color="000000"/>
              </w:pBdr>
              <w:bidi w:val="0"/>
              <w:spacing w:before="0" w:after="283"/>
              <w:jc w:val="center"/>
              <w:rPr>
                <w:rFonts w:ascii="Times New Roman" w:hAnsi="Times New Roman"/>
                <w:color w:val="000000"/>
                <w:sz w:val="18"/>
              </w:rPr>
            </w:pPr>
            <w:r>
              <w:rPr>
                <w:rFonts w:ascii="Times New Roman" w:hAnsi="Times New Roman"/>
                <w:color w:val="000000"/>
                <w:sz w:val="18"/>
              </w:rPr>
              <w:t>/s/ Edward Williams</w:t>
            </w:r>
          </w:p>
        </w:tc>
        <w:tc>
          <w:tcPr>
            <w:tcW w:w="326" w:type="dxa"/>
            <w:vMerge w:val="restart"/>
            <w:tcBorders/>
            <w:vAlign w:val="center"/>
          </w:tcPr>
          <w:p>
            <w:pPr>
              <w:pStyle w:val="TableContents"/>
              <w:bidi w:val="0"/>
              <w:spacing w:before="0" w:after="283"/>
              <w:ind w:left="0" w:right="0" w:firstLine="180"/>
              <w:jc w:val="left"/>
              <w:rPr/>
            </w:pPr>
            <w:r>
              <w:rPr/>
              <w:t> </w:t>
            </w:r>
          </w:p>
        </w:tc>
        <w:tc>
          <w:tcPr>
            <w:tcW w:w="3481" w:type="dxa"/>
            <w:vMerge w:val="restart"/>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291" w:type="dxa"/>
            <w:vMerge w:val="restart"/>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26, 2024</w:t>
            </w:r>
          </w:p>
        </w:tc>
      </w:tr>
      <w:tr>
        <w:trPr/>
        <w:tc>
          <w:tcPr>
            <w:tcW w:w="2206" w:type="dxa"/>
            <w:tcBorders/>
            <w:vAlign w:val="center"/>
          </w:tcPr>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Edward Williams</w:t>
            </w:r>
          </w:p>
        </w:tc>
        <w:tc>
          <w:tcPr>
            <w:tcW w:w="326" w:type="dxa"/>
            <w:vMerge w:val="continue"/>
            <w:tcBorders/>
            <w:vAlign w:val="center"/>
          </w:tcPr>
          <w:p>
            <w:pPr>
              <w:pStyle w:val="Normal"/>
              <w:bidi w:val="0"/>
              <w:jc w:val="left"/>
              <w:rPr/>
            </w:pPr>
            <w:r>
              <w:rPr/>
            </w:r>
          </w:p>
        </w:tc>
        <w:tc>
          <w:tcPr>
            <w:tcW w:w="348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291" w:type="dxa"/>
            <w:vMerge w:val="continue"/>
            <w:tcBorders/>
            <w:vAlign w:val="center"/>
          </w:tcPr>
          <w:p>
            <w:pPr>
              <w:pStyle w:val="Normal"/>
              <w:bidi w:val="0"/>
              <w:jc w:val="left"/>
              <w:rPr/>
            </w:pPr>
            <w:r>
              <w:rPr/>
            </w:r>
          </w:p>
        </w:tc>
      </w:tr>
    </w:tbl>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bcab-ex4_3.htm"/>
      <w:bookmarkStart w:id="46" w:name="ksbcabex4_3"/>
      <w:bookmarkEnd w:id="45"/>
      <w:bookmarkEnd w:id="46"/>
      <w:r>
        <w:rPr>
          <w:rFonts w:ascii="Times New Roman" w:hAnsi="Times New Roman"/>
          <w:b/>
          <w:color w:val="000000"/>
          <w:sz w:val="20"/>
        </w:rPr>
        <w:t>Exhibit 4.3</w:t>
      </w:r>
      <w:r>
        <w:br w:type="page"/>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DESCRIPTION OF THE REGISTRANT’S SECURITIES</w:t>
      </w:r>
    </w:p>
    <w:p>
      <w:pPr>
        <w:pStyle w:val="TextBody"/>
        <w:bidi w:val="0"/>
        <w:jc w:val="center"/>
        <w:rPr>
          <w:rFonts w:ascii="Times New Roman" w:hAnsi="Times New Roman"/>
          <w:b/>
          <w:color w:val="000000"/>
          <w:sz w:val="20"/>
        </w:rPr>
      </w:pPr>
      <w:r>
        <w:rPr>
          <w:rFonts w:ascii="Times New Roman" w:hAnsi="Times New Roman"/>
          <w:b/>
          <w:color w:val="000000"/>
          <w:sz w:val="20"/>
        </w:rPr>
        <w:t>REGISTERED PURSUANT TO SECTION 12 OF THE SECURITIES</w:t>
      </w:r>
    </w:p>
    <w:p>
      <w:pPr>
        <w:pStyle w:val="TextBody"/>
        <w:bidi w:val="0"/>
        <w:jc w:val="center"/>
        <w:rPr>
          <w:rFonts w:ascii="Times New Roman" w:hAnsi="Times New Roman"/>
          <w:b/>
          <w:color w:val="000000"/>
          <w:sz w:val="20"/>
        </w:rPr>
      </w:pPr>
      <w:r>
        <w:rPr>
          <w:rFonts w:ascii="Times New Roman" w:hAnsi="Times New Roman"/>
          <w:b/>
          <w:color w:val="000000"/>
          <w:sz w:val="20"/>
        </w:rPr>
        <w:t>EXCHANGE ACT OF 1934</w:t>
      </w:r>
    </w:p>
    <w:p>
      <w:pPr>
        <w:pStyle w:val="TextBody"/>
        <w:bidi w:val="0"/>
        <w:spacing w:before="216" w:after="283"/>
        <w:jc w:val="left"/>
        <w:rPr>
          <w:rFonts w:ascii="Times New Roman" w:hAnsi="Times New Roman"/>
          <w:i/>
          <w:color w:val="000000"/>
          <w:sz w:val="20"/>
        </w:rPr>
      </w:pPr>
      <w:r>
        <w:rPr>
          <w:rFonts w:ascii="Times New Roman" w:hAnsi="Times New Roman"/>
          <w:i/>
          <w:color w:val="000000"/>
          <w:sz w:val="20"/>
        </w:rPr>
        <w:t>BioAtla, Inc. (“we,” “our,” “us,” or the “Company”) has one class of securities registered under Section 12 of the Securities Exchange Act of 1934, as amended: our common stock. The following summary of the terms of our common stock is based upon our restated certificate of incorporation and our restated bylaws. This summary does not purport to be complete and is subject to, and is qualified in its entirety by express reference to, the applicable provisions of our amended and restated certificate of incorporation and our amended and restated bylaws, which are filed as exhibits to our Annual Report on Form 10-K and are incorporated by reference herein. We encourage you to read our amended and restated certificate of incorporation, our amended and restated bylaws and the applicable provisions of the Delaware General Corporation Law for more information.</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Common stock and class B common stock</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We are authorized to issue up to a total of 350,000,000 shares of common stock, par value $0.0001 per share and up to a total of 15,368,569 shares of Class B common stock, par value $0.0001 per share. No Class B common stock is outstanding as of December 31, 2023. The holders of our common stock and Class B common stock have identical rights, provided that (i) 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Class B common stock are not entitled to any votes per share of Class B common stock, including for the election of directors and (ii) holders of our common stock have no conversion rights, while holders of our Class B common stock shall have the right to convert each share of our Class B common stock into one share of common stock at such holder’s election, provided that as a result of such conversion, such holder would not beneficially own in excess of 4.99% of any class of our securities registered under the Exchange Act, unless otherwise as expressly provided for in our amended and restated certificate of incorporation. However, this ownership limitation may be increased or decreased to any other percentage designated by such holder of Class B common stock upon 61 days’ notice to us.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common stock and Class B common stock have no preemptive rights or other subscription rights or redemption or sinking fund provisions. Upon our liquidation, dissolution or winding-up, holders of our common stock and Class B common stock are entitled to share ratably in all assets remaining after payment of all liabilities and the liquidation preferences of any of our outstanding shares of preferred stock. Subject to preferences that may be applicable to any outstanding shares of preferred stock, holders of our common stock and Class B common stock are entitled to receive dividends only if declared from time to time by our board of directors out of assets which are legally available.</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Under our amended and restated certificate of incorporation, our board of directors has the authority, without further action by the stockholders, to issue up to 200,000,000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jc w:val="left"/>
        <w:rPr/>
      </w:pPr>
      <w:r>
        <w:rPr/>
        <w:t> </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Registration rights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Upon the completion of the initial public offering and subject to the lock-up agreements entered into in connection with such offering and federal securities laws, certain holders of shares of our common stock are initially be entitled to certain rights with respect to registration of such shares under the Securities Act. These shares are referred to as registrable securities.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registration described below.</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Generally, in an underwritten offering, the managing underwriter, if any, has the right, subject to specified conditions and limitations, to limit the number of shares the holders may include. The piggyback registration rights described below will terminate upon the earliest of (i) with respect to each stockholder, such date, on or after the completion of our initial public offering, on which all registrable shares held by such stockholder may immediately be sold during any three month period pursuant to Rule 144, (ii)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occurrence of a deemed liquidation event, as defined in our certificate of incorporation, as currently in effect and (iii) the fifth anniversary of the completion of our initial public offering.</w:t>
      </w:r>
    </w:p>
    <w:p>
      <w:pPr>
        <w:pStyle w:val="TextBody"/>
        <w:bidi w:val="0"/>
        <w:jc w:val="left"/>
        <w:rPr/>
      </w:pPr>
      <w:r>
        <w:rPr/>
        <w:t> </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Piggyback registration rights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As of December 31, 2023, certain holders of our common stock are entitled to their rights to notice of public offerings and to include their shares of registrable securities in public offerings. In the event that we propose to register any of our securities under the Securities Act in an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Anti-takeover effects of provisions of our certificate of incorporation, our bylaws and Delaware law</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Certain provisions of Delaware law and certain provisions included in our amended and restated certificate of incorporation and amended and restated bylaws, summarized below, may be deemed to have an anti-takeover effect and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Delaware anti-takeover law</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We are subject to Section 203 of the Delaware General Corporation Law, or Section 203. Section 203 generally prohibits a public Delaware corporation from engaging in a “business combination” with an “interested stockholder” for a period of three years after the date of the transaction in which the person became an interested stockholder, unless:</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prior to the date of the transaction, the board of directors of the corporation approved either the business combination or the transaction which resulted in the stockholder becoming an interested stockholder;</w:t>
            </w:r>
          </w:p>
        </w:tc>
      </w:tr>
    </w:tbl>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the interested stockholder owned at least 85% of the voting stock of the corporation outstanding upon consummation of the transaction, excluding for purposes of determining the number of shares outstanding</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0081"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tc>
      </w:tr>
    </w:tbl>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Section 203 defines a business combination to include:</w:t>
      </w:r>
    </w:p>
    <w:tbl>
      <w:tblPr>
        <w:tblW w:w="7497" w:type="dxa"/>
        <w:jc w:val="left"/>
        <w:tblInd w:w="0" w:type="dxa"/>
        <w:tblLayout w:type="fixed"/>
        <w:tblCellMar>
          <w:top w:w="28" w:type="dxa"/>
          <w:left w:w="28" w:type="dxa"/>
          <w:bottom w:w="28" w:type="dxa"/>
          <w:right w:w="28" w:type="dxa"/>
        </w:tblCellMar>
      </w:tblPr>
      <w:tblGrid>
        <w:gridCol w:w="124"/>
        <w:gridCol w:w="122"/>
        <w:gridCol w:w="109"/>
        <w:gridCol w:w="7142"/>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714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any merger or consolidation involving the corporation and the interested stockholder;</w:t>
            </w:r>
          </w:p>
        </w:tc>
      </w:tr>
    </w:tbl>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any sale, transfer, pledge or other disposition involving the interested stockholder of 10% or more of the assets of the corporation;</w:t>
            </w:r>
          </w:p>
        </w:tc>
      </w:tr>
    </w:tbl>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subject to exceptions, any transaction involving the corporation that has the effect of increasing the proportionate share of the stock of any class or series of the corporation beneficially owned by the interested stockholder;</w:t>
            </w:r>
          </w:p>
        </w:tc>
      </w:tr>
    </w:tbl>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subject to exceptions, any transaction that results in the issuance or transfer by the corporation of any stock of the corporation to the interested stockholder; and</w:t>
            </w:r>
          </w:p>
        </w:tc>
      </w:tr>
    </w:tbl>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provided by or through the corporation.</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Classified board</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our board of directors is divided into three classes, designated Class I, Class II and Class III. Each class will be an equal number of directors, as nearly as possible, consisting of one third of the total number of directors constituting the entire board of directors.</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Removal of directors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stockholders may only remove a director for cause by a vote of at least 66 2/3% of the voting power of all of our then outstanding common stock and that the authorized number of directors may be changed only by resolution adopted by a majority of the board of directors.</w:t>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Director vacancies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Special meetings of stockholders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and our amended and restated bylaws provide that, except as otherwise required by law, special meetings of our stockholders may be called only by the chairman of the board, our Chief Executive Officer or by the board of directors pursuant to a resolution adopted by a majority of the total number of authorized directors (whether or not there exists any vacancies).</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Advance notice procedures for director nominations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stockholders seeking to nominate candidates for election as directors at an annual or special meeting of stockholders must provide timely notice thereof in writing and also specify requirements as to the form and content of a stockholder’s notice.</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Action by written consent</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require that any action to be taken by our stockholders must be effected at a duly called annual or special meeting of stockholders and not be taken by written consent.</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Cumulative voting</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provides for cumulative voting rights (therefore allowing the holders of a majority of the shares of common stock entitled to vote in any election of directors to elect all of the directors standing for election, if they should so choose).</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Amending our certificate of incorporation and bylaws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The amendment of any of the provisions in our amended and restated certificate of incorporation, with the exception of the ability of our board of directors to issue shares of preferred stock and designate any rights, preferences and privileges thereto, would require the affirmative vote of the holders of at least 66 2/3% of the voting power of all of our then outstanding common stock. Additionally, our amended and restated certificate of incorporation provides that our bylaws may be amended, altered or repealed by the board of directors.</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Exclusive forum provision</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the Court of Chancery of the State of Delaware (or, if the Court of Chancery of the State of Delaware does not have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Nasdaq Global Market</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common stock is listed on The Nasdaq Global Market under the symbol “BCAB.”</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The transfer agent and registrar for our common stock and Class B common stock is Pacific Stock Transfer, Inc. The transfer agent and registrar’s address is 6725 Via Austi Pkwy, Suite 300, Las Vegas, NV 89119.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bcab-ex10_17.htm"/>
      <w:bookmarkStart w:id="48" w:name="ksbcabex10_17"/>
      <w:bookmarkEnd w:id="47"/>
      <w:bookmarkEnd w:id="48"/>
      <w:r>
        <w:rPr>
          <w:rFonts w:ascii="Times New Roman" w:hAnsi="Times New Roman"/>
          <w:b/>
          <w:color w:val="000000"/>
          <w:sz w:val="20"/>
        </w:rPr>
        <w:t>Exhibit 10.17</w:t>
      </w:r>
      <w:r>
        <w:br w:type="page"/>
      </w:r>
    </w:p>
    <w:p>
      <w:pPr>
        <w:pStyle w:val="TextBody"/>
        <w:bidi w:val="0"/>
        <w:spacing w:before="49" w:after="283"/>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FIRST AMENDMENT TO LEASE</w:t>
      </w:r>
    </w:p>
    <w:p>
      <w:pPr>
        <w:pStyle w:val="TextBody"/>
        <w:bidi w:val="0"/>
        <w:spacing w:before="235" w:after="283"/>
        <w:jc w:val="both"/>
        <w:rPr>
          <w:rFonts w:ascii="Times New Roman" w:hAnsi="Times New Roman"/>
          <w:sz w:val="20"/>
        </w:rPr>
      </w:pPr>
      <w:r>
        <w:rPr>
          <w:rFonts w:ascii="Times New Roman" w:hAnsi="Times New Roman"/>
          <w:color w:val="000000"/>
          <w:sz w:val="24"/>
        </w:rPr>
        <w:t>This FIRST AMENDMENT TO LEASE (this "</w:t>
      </w:r>
      <w:r>
        <w:rPr>
          <w:rFonts w:ascii="Times New Roman" w:hAnsi="Times New Roman"/>
          <w:b/>
          <w:color w:val="000000"/>
          <w:sz w:val="24"/>
        </w:rPr>
        <w:t>First Amendment</w:t>
      </w:r>
      <w:r>
        <w:rPr>
          <w:rFonts w:ascii="Times New Roman" w:hAnsi="Times New Roman"/>
          <w:color w:val="000000"/>
          <w:sz w:val="24"/>
        </w:rPr>
        <w:t>") is made and entered into as of the 16</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January, 2019, by and between HCP TORREYANA, LLC, a Delaware limited liability company ("</w:t>
      </w:r>
      <w:r>
        <w:rPr>
          <w:rFonts w:ascii="Times New Roman" w:hAnsi="Times New Roman"/>
          <w:b/>
          <w:color w:val="000000"/>
          <w:sz w:val="24"/>
        </w:rPr>
        <w:t>Landlord</w:t>
      </w:r>
      <w:r>
        <w:rPr>
          <w:rFonts w:ascii="Times New Roman" w:hAnsi="Times New Roman"/>
          <w:color w:val="000000"/>
          <w:sz w:val="24"/>
        </w:rPr>
        <w:t>"), and BIOATLA, LLC, a Delaware limited liability company ("</w:t>
      </w:r>
      <w:r>
        <w:rPr>
          <w:rFonts w:ascii="Times New Roman" w:hAnsi="Times New Roman"/>
          <w:b/>
          <w:color w:val="000000"/>
          <w:sz w:val="24"/>
        </w:rPr>
        <w:t>Tenant</w:t>
      </w:r>
      <w:r>
        <w:rPr>
          <w:rFonts w:ascii="Times New Roman" w:hAnsi="Times New Roman"/>
          <w:color w:val="000000"/>
          <w:sz w:val="24"/>
        </w:rPr>
        <w:t>").</w:t>
      </w:r>
    </w:p>
    <w:p>
      <w:pPr>
        <w:pStyle w:val="TextBody"/>
        <w:bidi w:val="0"/>
        <w:spacing w:before="204" w:after="283"/>
        <w:jc w:val="left"/>
        <w:rPr/>
      </w:pPr>
      <w:r>
        <w:rPr/>
        <w:t> </w:t>
      </w:r>
    </w:p>
    <w:p>
      <w:pPr>
        <w:pStyle w:val="TextBody"/>
        <w:bidi w:val="0"/>
        <w:jc w:val="center"/>
        <w:rPr>
          <w:rFonts w:ascii="Times New Roman" w:hAnsi="Times New Roman"/>
          <w:sz w:val="20"/>
        </w:rPr>
      </w:pPr>
      <w:r>
        <w:rPr>
          <w:rFonts w:ascii="Times New Roman" w:hAnsi="Times New Roman"/>
          <w:color w:val="000000"/>
          <w:sz w:val="24"/>
          <w:u w:val="single"/>
        </w:rPr>
        <w:t>R E C</w:t>
      </w:r>
      <w:r>
        <w:rPr>
          <w:rFonts w:ascii="Times New Roman" w:hAnsi="Times New Roman"/>
          <w:color w:val="000000"/>
          <w:sz w:val="20"/>
        </w:rPr>
        <w:t xml:space="preserve"> </w:t>
      </w:r>
      <w:r>
        <w:rPr>
          <w:rFonts w:ascii="Times New Roman" w:hAnsi="Times New Roman"/>
          <w:color w:val="000000"/>
          <w:sz w:val="24"/>
          <w:u w:val="single"/>
        </w:rPr>
        <w:t>I T A</w:t>
      </w:r>
      <w:r>
        <w:rPr>
          <w:rFonts w:ascii="Times New Roman" w:hAnsi="Times New Roman"/>
          <w:color w:val="000000"/>
          <w:sz w:val="20"/>
        </w:rPr>
        <w:t xml:space="preserve"> </w:t>
      </w:r>
      <w:r>
        <w:rPr>
          <w:rFonts w:ascii="Times New Roman" w:hAnsi="Times New Roman"/>
          <w:color w:val="000000"/>
          <w:sz w:val="24"/>
          <w:u w:val="single"/>
        </w:rPr>
        <w:t>L S</w:t>
      </w:r>
      <w:r>
        <w:rPr>
          <w:rFonts w:ascii="Times New Roman" w:hAnsi="Times New Roman"/>
          <w:color w:val="000000"/>
          <w:sz w:val="20"/>
        </w:rPr>
        <w:t xml:space="preserve"> </w:t>
      </w:r>
      <w:r>
        <w:rPr>
          <w:rFonts w:ascii="Times New Roman" w:hAnsi="Times New Roman"/>
          <w:color w:val="000000"/>
          <w:sz w:val="24"/>
        </w:rPr>
        <w:t>:</w:t>
      </w:r>
    </w:p>
    <w:p>
      <w:pPr>
        <w:pStyle w:val="TextBody"/>
        <w:bidi w:val="0"/>
        <w:spacing w:before="204"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pPr>
      <w:r>
        <w:rPr>
          <w:rFonts w:ascii="Times New Roman" w:hAnsi="Times New Roman"/>
          <w:color w:val="000000"/>
          <w:sz w:val="24"/>
        </w:rPr>
        <w:t>Landlord and Tenant entered into that certain Lease dated June 2, 2017 (the "</w:t>
      </w:r>
      <w:r>
        <w:rPr>
          <w:rFonts w:ascii="Times New Roman" w:hAnsi="Times New Roman"/>
          <w:b/>
          <w:color w:val="000000"/>
          <w:sz w:val="24"/>
        </w:rPr>
        <w:t>Lease</w:t>
      </w:r>
      <w:r>
        <w:rPr>
          <w:rFonts w:ascii="Times New Roman" w:hAnsi="Times New Roman"/>
          <w:color w:val="000000"/>
          <w:sz w:val="24"/>
        </w:rPr>
        <w:t>"), whereby Landlord leases to Tenant and Tenant leases from Landlord approximately 20,825 rentable square feet of space (the "</w:t>
      </w:r>
      <w:r>
        <w:rPr>
          <w:rFonts w:ascii="Times New Roman" w:hAnsi="Times New Roman"/>
          <w:b/>
          <w:color w:val="000000"/>
          <w:sz w:val="24"/>
        </w:rPr>
        <w:t>Existing Premises</w:t>
      </w:r>
      <w:r>
        <w:rPr>
          <w:rFonts w:ascii="Times New Roman" w:hAnsi="Times New Roman"/>
          <w:color w:val="000000"/>
          <w:sz w:val="24"/>
        </w:rPr>
        <w:t>") consisting of the entire first (1</w:t>
      </w:r>
      <w:r>
        <w:rPr>
          <w:rFonts w:ascii="Times New Roman" w:hAnsi="Times New Roman"/>
          <w:color w:val="000000"/>
          <w:sz w:val="16"/>
        </w:rPr>
        <w:t>st</w:t>
      </w:r>
      <w:r>
        <w:rPr>
          <w:rFonts w:ascii="Times New Roman" w:hAnsi="Times New Roman"/>
          <w:color w:val="000000"/>
          <w:sz w:val="24"/>
        </w:rPr>
        <w:t>) floor of that certain building located at 11085 Torreyana Road, San Diego, California 92121 (the "</w:t>
      </w:r>
      <w:r>
        <w:rPr>
          <w:rFonts w:ascii="Times New Roman" w:hAnsi="Times New Roman"/>
          <w:b/>
          <w:color w:val="000000"/>
          <w:sz w:val="24"/>
        </w:rPr>
        <w:t>Building</w:t>
      </w:r>
      <w:r>
        <w:rPr>
          <w:rFonts w:ascii="Times New Roman" w:hAnsi="Times New Roman"/>
          <w:color w:val="000000"/>
          <w:sz w:val="24"/>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both"/>
        <w:rPr/>
      </w:pPr>
      <w:r>
        <w:rPr>
          <w:rFonts w:ascii="Times New Roman" w:hAnsi="Times New Roman"/>
          <w:color w:val="000000"/>
          <w:sz w:val="24"/>
        </w:rPr>
        <w:t>Tenant desires to expand the Existing Premises to include that certain space consisting of approximately 22,552 rentable square feet of space commonly known as Suite 200 and located on the top floor of the Building (the "</w:t>
      </w:r>
      <w:r>
        <w:rPr>
          <w:rFonts w:ascii="Times New Roman" w:hAnsi="Times New Roman"/>
          <w:b/>
          <w:color w:val="000000"/>
          <w:sz w:val="24"/>
        </w:rPr>
        <w:t>Expansion Premises</w:t>
      </w:r>
      <w:r>
        <w:rPr>
          <w:rFonts w:ascii="Times New Roman" w:hAnsi="Times New Roman"/>
          <w:color w:val="000000"/>
          <w:sz w:val="24"/>
        </w:rPr>
        <w:t xml:space="preserve">"), as delineated on </w:t>
      </w:r>
      <w:r>
        <w:rPr>
          <w:rFonts w:ascii="Times New Roman" w:hAnsi="Times New Roman"/>
          <w:b/>
          <w:color w:val="000000"/>
          <w:sz w:val="24"/>
          <w:u w:val="single"/>
        </w:rPr>
        <w:t>Exhibit A</w:t>
      </w:r>
      <w:r>
        <w:rPr>
          <w:color w:val="000000"/>
        </w:rPr>
        <w:t xml:space="preserve"> </w:t>
      </w:r>
      <w:r>
        <w:rPr>
          <w:rFonts w:ascii="Times New Roman" w:hAnsi="Times New Roman"/>
          <w:color w:val="000000"/>
          <w:sz w:val="24"/>
        </w:rPr>
        <w:t>attached hereto and made a part hereof, and to make other modifications to the Lease, and in connection therewith, Landlord and Tenant desire to amend the Lease as hereinafter provided.</w:t>
      </w:r>
    </w:p>
    <w:p>
      <w:pPr>
        <w:pStyle w:val="TextBody"/>
        <w:bidi w:val="0"/>
        <w:spacing w:before="204" w:after="283"/>
        <w:jc w:val="left"/>
        <w:rPr/>
      </w:pPr>
      <w:r>
        <w:rPr/>
        <w:t> </w:t>
      </w:r>
    </w:p>
    <w:p>
      <w:pPr>
        <w:pStyle w:val="TextBody"/>
        <w:bidi w:val="0"/>
        <w:jc w:val="center"/>
        <w:rPr>
          <w:rFonts w:ascii="Times New Roman" w:hAnsi="Times New Roman"/>
          <w:sz w:val="20"/>
        </w:rPr>
      </w:pPr>
      <w:r>
        <w:rPr>
          <w:rFonts w:ascii="Times New Roman" w:hAnsi="Times New Roman"/>
          <w:color w:val="000000"/>
          <w:sz w:val="24"/>
          <w:u w:val="single"/>
        </w:rPr>
        <w:t>A G R E E M E</w:t>
      </w:r>
      <w:r>
        <w:rPr>
          <w:rFonts w:ascii="Times New Roman" w:hAnsi="Times New Roman"/>
          <w:color w:val="000000"/>
          <w:sz w:val="20"/>
        </w:rPr>
        <w:t xml:space="preserve"> </w:t>
      </w:r>
      <w:r>
        <w:rPr>
          <w:rFonts w:ascii="Times New Roman" w:hAnsi="Times New Roman"/>
          <w:color w:val="000000"/>
          <w:sz w:val="24"/>
          <w:u w:val="single"/>
        </w:rPr>
        <w:t>N T</w:t>
      </w:r>
      <w:r>
        <w:rPr>
          <w:rFonts w:ascii="Times New Roman" w:hAnsi="Times New Roman"/>
          <w:color w:val="000000"/>
          <w:sz w:val="20"/>
        </w:rPr>
        <w:t xml:space="preserve"> </w:t>
      </w:r>
      <w:r>
        <w:rPr>
          <w:rFonts w:ascii="Times New Roman" w:hAnsi="Times New Roman"/>
          <w:color w:val="000000"/>
          <w:sz w:val="24"/>
        </w:rPr>
        <w:t>:</w:t>
      </w:r>
    </w:p>
    <w:p>
      <w:pPr>
        <w:pStyle w:val="TextBody"/>
        <w:bidi w:val="0"/>
        <w:spacing w:before="204"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foregoing recitals and the mutual covenants contained herein, and for other good and valuable consideration, the receipt and sufficiency of which are hereby acknowledged, the parties hereto hereby agree as follows: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1" w:after="283"/>
        <w:jc w:val="both"/>
        <w:rPr/>
      </w:pPr>
      <w:r>
        <w:rPr>
          <w:rFonts w:ascii="Times New Roman" w:hAnsi="Times New Roman"/>
          <w:b/>
          <w:color w:val="000000"/>
          <w:sz w:val="24"/>
          <w:u w:val="single"/>
        </w:rPr>
        <w:t>Capitalized Terms</w:t>
      </w:r>
      <w:r>
        <w:rPr>
          <w:rFonts w:ascii="Times New Roman" w:hAnsi="Times New Roman"/>
          <w:color w:val="000000"/>
          <w:sz w:val="24"/>
        </w:rPr>
        <w:t>. All capitalized terms when used herein shall have the same meaning as is given such terms in the Lease unless expressly superseded by the terms of this First Amendment.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b/>
          <w:color w:val="000000"/>
          <w:sz w:val="24"/>
          <w:u w:val="single"/>
        </w:rPr>
        <w:t>Modification of Premises</w:t>
      </w:r>
      <w:r>
        <w:rPr>
          <w:rFonts w:ascii="Times New Roman" w:hAnsi="Times New Roman"/>
          <w:color w:val="000000"/>
          <w:sz w:val="24"/>
        </w:rPr>
        <w:t>. Effective as of the date (the "</w:t>
      </w:r>
      <w:r>
        <w:rPr>
          <w:rFonts w:ascii="Times New Roman" w:hAnsi="Times New Roman"/>
          <w:b/>
          <w:color w:val="000000"/>
          <w:sz w:val="24"/>
        </w:rPr>
        <w:t>Expansion Commencement Date</w:t>
      </w:r>
      <w:r>
        <w:rPr>
          <w:rFonts w:ascii="Times New Roman" w:hAnsi="Times New Roman"/>
          <w:color w:val="000000"/>
          <w:sz w:val="24"/>
        </w:rPr>
        <w:t xml:space="preserve">") which is the earlier to occur of (i) the date upon which Tenant first commences to conduct business in the Expansion Premises, (ii) the "Substantial Completion," as that term is defined in </w:t>
      </w:r>
      <w:r>
        <w:rPr>
          <w:rFonts w:ascii="Times New Roman" w:hAnsi="Times New Roman"/>
          <w:color w:val="000000"/>
          <w:sz w:val="24"/>
          <w:u w:val="single"/>
        </w:rPr>
        <w:t>Section 4.2.2.2</w:t>
      </w:r>
      <w:r>
        <w:rPr>
          <w:color w:val="000000"/>
        </w:rPr>
        <w:t xml:space="preserve"> </w:t>
      </w:r>
      <w:r>
        <w:rPr>
          <w:rFonts w:ascii="Times New Roman" w:hAnsi="Times New Roman"/>
          <w:color w:val="000000"/>
          <w:sz w:val="24"/>
        </w:rPr>
        <w:t xml:space="preserve">of the Tenant Work Letter attached hereto as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(the "</w:t>
      </w:r>
      <w:r>
        <w:rPr>
          <w:rFonts w:ascii="Times New Roman" w:hAnsi="Times New Roman"/>
          <w:b/>
          <w:color w:val="000000"/>
          <w:sz w:val="24"/>
        </w:rPr>
        <w:t>Tenant Work Letter</w:t>
      </w:r>
      <w:r>
        <w:rPr>
          <w:rFonts w:ascii="Times New Roman" w:hAnsi="Times New Roman"/>
          <w:color w:val="000000"/>
          <w:sz w:val="24"/>
        </w:rPr>
        <w:t>"), and (iii) July 1, 2019, Tenant shall lease from Landlord and Landlord shall lease to Tenant the Expansion Premises. Landlord and Tenant hereby acknowledge that such addition of the Expansion Premises to the Existing Premises shall, effective as of the Expansion Commencement Date, increase the size of the Premises to approximately 43,377 rentable square feet, consisting of all of the rentable area of the Building. The Existing Premises and the Expansion Premises may hereinafter collectively be referred to as the "</w:t>
      </w:r>
      <w:r>
        <w:rPr>
          <w:rFonts w:ascii="Times New Roman" w:hAnsi="Times New Roman"/>
          <w:b/>
          <w:color w:val="000000"/>
          <w:sz w:val="24"/>
        </w:rPr>
        <w:t>Premises</w:t>
      </w:r>
      <w:r>
        <w:rPr>
          <w:rFonts w:ascii="Times New Roman" w:hAnsi="Times New Roman"/>
          <w:color w:val="000000"/>
          <w:sz w:val="24"/>
        </w:rPr>
        <w:t>."</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80" w:after="283"/>
        <w:jc w:val="both"/>
        <w:rPr/>
      </w:pPr>
      <w:r>
        <w:rPr>
          <w:rFonts w:ascii="Times New Roman" w:hAnsi="Times New Roman"/>
          <w:b/>
          <w:color w:val="000000"/>
          <w:sz w:val="24"/>
          <w:u w:val="single"/>
        </w:rPr>
        <w:t>Expansion Term</w:t>
      </w:r>
      <w:r>
        <w:rPr>
          <w:rFonts w:ascii="Times New Roman" w:hAnsi="Times New Roman"/>
          <w:color w:val="000000"/>
          <w:sz w:val="24"/>
        </w:rPr>
        <w:t>. Landlord and Tenant acknowledge that Tenant's lease of the Existing Premises is scheduled to expire on February 28, 2025 (the "</w:t>
      </w:r>
      <w:r>
        <w:rPr>
          <w:rFonts w:ascii="Times New Roman" w:hAnsi="Times New Roman"/>
          <w:b/>
          <w:color w:val="000000"/>
          <w:sz w:val="24"/>
        </w:rPr>
        <w:t>Current Lease Expiration Date</w:t>
      </w:r>
      <w:r>
        <w:rPr>
          <w:rFonts w:ascii="Times New Roman" w:hAnsi="Times New Roman"/>
          <w:color w:val="000000"/>
          <w:sz w:val="24"/>
        </w:rPr>
        <w:t xml:space="preserve">"), pursuant to the terms of the Lease. Notwithstanding anything to the contrary in the Lease, the term of Tenant's lease of the Existing Premises shall expire coterminously with the term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80" w:after="283"/>
        <w:jc w:val="both"/>
        <w:rPr/>
      </w:pPr>
      <w:r>
        <w:rPr>
          <w:rFonts w:ascii="Times New Roman" w:hAnsi="Times New Roman"/>
          <w:color w:val="000000"/>
          <w:sz w:val="24"/>
        </w:rPr>
        <w:t>Tenant's lease of the Expansion Premises on the date (the "</w:t>
      </w:r>
      <w:r>
        <w:rPr>
          <w:rFonts w:ascii="Times New Roman" w:hAnsi="Times New Roman"/>
          <w:b/>
          <w:color w:val="000000"/>
          <w:sz w:val="24"/>
        </w:rPr>
        <w:t>New Expiration Date</w:t>
      </w:r>
      <w:r>
        <w:rPr>
          <w:rFonts w:ascii="Times New Roman" w:hAnsi="Times New Roman"/>
          <w:color w:val="000000"/>
          <w:sz w:val="24"/>
        </w:rPr>
        <w:t>") which is the later to occur of (i) the Current Lease Expiration Date, and (ii) the day immediately preceding the sixth (6</w:t>
      </w:r>
      <w:r>
        <w:rPr>
          <w:rFonts w:ascii="Times New Roman" w:hAnsi="Times New Roman"/>
          <w:color w:val="000000"/>
          <w:sz w:val="16"/>
        </w:rPr>
        <w:t>th</w:t>
      </w:r>
      <w:r>
        <w:rPr>
          <w:rFonts w:ascii="Times New Roman" w:hAnsi="Times New Roman"/>
          <w:color w:val="000000"/>
          <w:sz w:val="24"/>
        </w:rPr>
        <w:t>) anniversary of the Expansion Commencement Date if the Expansion Commencement Date shall be the first day of a calendar month; or, if the Expansion Commencement Date shall be other than the first day of a calendar month, then it shall mean the last day of the month in which the sixth (6</w:t>
      </w:r>
      <w:r>
        <w:rPr>
          <w:rFonts w:ascii="Times New Roman" w:hAnsi="Times New Roman"/>
          <w:color w:val="000000"/>
          <w:sz w:val="16"/>
        </w:rPr>
        <w:t>th</w:t>
      </w:r>
      <w:r>
        <w:rPr>
          <w:rFonts w:ascii="Times New Roman" w:hAnsi="Times New Roman"/>
          <w:color w:val="000000"/>
          <w:sz w:val="24"/>
        </w:rPr>
        <w:t>) anniversary of the Expansion Commencement Date occurs. The period of time commencing on the Expansion Commencement Date and terminating on the New Expiration Date, shall be referred to herein as the "</w:t>
      </w:r>
      <w:r>
        <w:rPr>
          <w:rFonts w:ascii="Times New Roman" w:hAnsi="Times New Roman"/>
          <w:b/>
          <w:color w:val="000000"/>
          <w:sz w:val="24"/>
        </w:rPr>
        <w:t>Expansion Term</w:t>
      </w:r>
      <w:r>
        <w:rPr>
          <w:rFonts w:ascii="Times New Roman" w:hAnsi="Times New Roman"/>
          <w:color w:val="000000"/>
          <w:sz w:val="24"/>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1" w:after="283"/>
        <w:jc w:val="both"/>
        <w:rPr/>
      </w:pPr>
      <w:r>
        <w:rPr>
          <w:rFonts w:ascii="Times New Roman" w:hAnsi="Times New Roman"/>
          <w:b/>
          <w:color w:val="000000"/>
          <w:sz w:val="24"/>
          <w:u w:val="single"/>
        </w:rPr>
        <w:t>Option Term</w:t>
      </w:r>
      <w:r>
        <w:rPr>
          <w:rFonts w:ascii="Times New Roman" w:hAnsi="Times New Roman"/>
          <w:color w:val="000000"/>
          <w:sz w:val="24"/>
        </w:rPr>
        <w:t xml:space="preserve">. Tenant shall continue to have the right to extend the Lease Term pursuant to </w:t>
      </w:r>
      <w:r>
        <w:rPr>
          <w:rFonts w:ascii="Times New Roman" w:hAnsi="Times New Roman"/>
          <w:color w:val="000000"/>
          <w:sz w:val="24"/>
          <w:u w:val="single"/>
        </w:rPr>
        <w:t>Section 2.2</w:t>
      </w:r>
      <w:r>
        <w:rPr>
          <w:color w:val="000000"/>
        </w:rPr>
        <w:t xml:space="preserve"> </w:t>
      </w:r>
      <w:r>
        <w:rPr>
          <w:rFonts w:ascii="Times New Roman" w:hAnsi="Times New Roman"/>
          <w:color w:val="000000"/>
          <w:sz w:val="24"/>
        </w:rPr>
        <w:t xml:space="preserve">of the Lease; provided, however, Landlord and Tenant hereby acknowledge and agree that, effective as of the date of this First Amendment, the following shall apply: (i) all references to "this Lease" or "the Lease" in </w:t>
      </w:r>
      <w:r>
        <w:rPr>
          <w:rFonts w:ascii="Times New Roman" w:hAnsi="Times New Roman"/>
          <w:color w:val="000000"/>
          <w:sz w:val="24"/>
          <w:u w:val="single"/>
        </w:rPr>
        <w:t>Section 2.2</w:t>
      </w:r>
      <w:r>
        <w:rPr>
          <w:color w:val="000000"/>
        </w:rPr>
        <w:t xml:space="preserve"> </w:t>
      </w:r>
      <w:r>
        <w:rPr>
          <w:rFonts w:ascii="Times New Roman" w:hAnsi="Times New Roman"/>
          <w:color w:val="000000"/>
          <w:sz w:val="24"/>
        </w:rPr>
        <w:t xml:space="preserve">of the Lease shall be deemed to be references to "the Lease, as amended"; and (ii) all references to the "Premises" in </w:t>
      </w:r>
      <w:r>
        <w:rPr>
          <w:rFonts w:ascii="Times New Roman" w:hAnsi="Times New Roman"/>
          <w:color w:val="000000"/>
          <w:sz w:val="24"/>
          <w:u w:val="single"/>
        </w:rPr>
        <w:t>Section 2.2</w:t>
      </w:r>
      <w:r>
        <w:rPr>
          <w:color w:val="000000"/>
        </w:rPr>
        <w:t xml:space="preserve"> </w:t>
      </w:r>
      <w:r>
        <w:rPr>
          <w:rFonts w:ascii="Times New Roman" w:hAnsi="Times New Roman"/>
          <w:color w:val="000000"/>
          <w:sz w:val="24"/>
        </w:rPr>
        <w:t>of the Lease shall be deemed to be references to the Existing Premises and the Expansion Premises.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pPr>
      <w:r>
        <w:rPr>
          <w:rFonts w:ascii="Times New Roman" w:hAnsi="Times New Roman"/>
          <w:b/>
          <w:color w:val="000000"/>
          <w:sz w:val="24"/>
          <w:u w:val="single"/>
        </w:rPr>
        <w:t>Base Rent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5.1.</w:t>
      </w:r>
    </w:p>
    <w:p>
      <w:pPr>
        <w:pStyle w:val="TextBody"/>
        <w:bidi w:val="0"/>
        <w:spacing w:before="240" w:after="283"/>
        <w:jc w:val="both"/>
        <w:rPr/>
      </w:pPr>
      <w:r>
        <w:rPr>
          <w:rFonts w:ascii="Times New Roman" w:hAnsi="Times New Roman"/>
          <w:b/>
          <w:color w:val="000000"/>
          <w:sz w:val="24"/>
          <w:u w:val="single"/>
        </w:rPr>
        <w:t>Existing Premises</w:t>
      </w:r>
      <w:r>
        <w:rPr>
          <w:rFonts w:ascii="Times New Roman" w:hAnsi="Times New Roman"/>
          <w:color w:val="000000"/>
          <w:sz w:val="24"/>
        </w:rPr>
        <w:t>. Tenant shall continue to pay Base Rent for the Existing Premises in accordance with the terms of the Lease. Following The Current Lease Expiration Date and continuing through the New Expiration Date, Tenant shall continue to pay the same Monthly Installment of Base Rent (prorated for any partial calendar month) for the Existing Premises attributable to the last calendar month of the otherwise scheduled Lease Term.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5.2.</w:t>
      </w:r>
    </w:p>
    <w:p>
      <w:pPr>
        <w:pStyle w:val="TextBody"/>
        <w:bidi w:val="0"/>
        <w:spacing w:before="240" w:after="283"/>
        <w:jc w:val="both"/>
        <w:rPr/>
      </w:pPr>
      <w:r>
        <w:rPr>
          <w:rFonts w:ascii="Times New Roman" w:hAnsi="Times New Roman"/>
          <w:b/>
          <w:color w:val="000000"/>
          <w:sz w:val="24"/>
          <w:u w:val="single"/>
        </w:rPr>
        <w:t>Expansion Premises</w:t>
      </w:r>
      <w:r>
        <w:rPr>
          <w:rFonts w:ascii="Times New Roman" w:hAnsi="Times New Roman"/>
          <w:color w:val="000000"/>
          <w:sz w:val="24"/>
        </w:rPr>
        <w:t>. Commencing on the Expansion Commencement Date, and continuing throughout the Expansion Term, Tenant shall pay to Landlord monthly installments of Base Rent for the Expansion Premises as follows:</w:t>
      </w:r>
    </w:p>
    <w:p>
      <w:pPr>
        <w:pStyle w:val="TextBody"/>
        <w:bidi w:val="0"/>
        <w:spacing w:before="21"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62"/>
        <w:gridCol w:w="1913"/>
        <w:gridCol w:w="2298"/>
        <w:gridCol w:w="4232"/>
      </w:tblGrid>
      <w:tr>
        <w:trPr/>
        <w:tc>
          <w:tcPr>
            <w:tcW w:w="1762"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4232" w:type="dxa"/>
            <w:tcBorders/>
            <w:vAlign w:val="center"/>
          </w:tcPr>
          <w:p>
            <w:pPr>
              <w:pStyle w:val="TableContents"/>
              <w:bidi w:val="0"/>
              <w:spacing w:before="0" w:after="283"/>
              <w:ind w:left="0" w:right="0" w:firstLine="570"/>
              <w:jc w:val="left"/>
              <w:rPr>
                <w:sz w:val="4"/>
                <w:szCs w:val="4"/>
              </w:rPr>
            </w:pPr>
            <w:r>
              <w:rPr>
                <w:sz w:val="4"/>
                <w:szCs w:val="4"/>
              </w:rPr>
            </w:r>
          </w:p>
        </w:tc>
      </w:tr>
      <w:tr>
        <w:trPr/>
        <w:tc>
          <w:tcPr>
            <w:tcW w:w="1762" w:type="dxa"/>
            <w:tcBorders/>
            <w:vAlign w:val="center"/>
          </w:tcPr>
          <w:p>
            <w:pPr>
              <w:pStyle w:val="TableContents"/>
              <w:pBdr/>
              <w:bidi w:val="0"/>
              <w:spacing w:before="266" w:after="283"/>
              <w:ind w:left="49" w:right="332" w:hanging="521"/>
              <w:jc w:val="left"/>
              <w:rPr>
                <w:rFonts w:ascii="Times New Roman" w:hAnsi="Times New Roman"/>
                <w:sz w:val="24"/>
              </w:rPr>
            </w:pPr>
            <w:r>
              <w:rPr>
                <w:rFonts w:ascii="Times New Roman" w:hAnsi="Times New Roman"/>
                <w:color w:val="000000"/>
                <w:sz w:val="24"/>
              </w:rPr>
              <w:t xml:space="preserve">Expansion Lease </w:t>
            </w:r>
            <w:r>
              <w:rPr>
                <w:rFonts w:ascii="Times New Roman" w:hAnsi="Times New Roman"/>
                <w:color w:val="000000"/>
                <w:sz w:val="24"/>
                <w:u w:val="single"/>
              </w:rPr>
              <w:t>Year</w:t>
            </w:r>
            <w:r>
              <w:rPr>
                <w:rFonts w:ascii="Times New Roman" w:hAnsi="Times New Roman"/>
                <w:color w:val="000000"/>
                <w:sz w:val="24"/>
              </w:rPr>
              <w:t>*</w:t>
            </w:r>
          </w:p>
        </w:tc>
        <w:tc>
          <w:tcPr>
            <w:tcW w:w="1913" w:type="dxa"/>
            <w:tcBorders/>
            <w:vAlign w:val="center"/>
          </w:tcPr>
          <w:p>
            <w:pPr>
              <w:pStyle w:val="TableContents"/>
              <w:bidi w:val="0"/>
              <w:spacing w:before="265" w:after="283"/>
              <w:jc w:val="left"/>
              <w:rPr/>
            </w:pPr>
            <w:r>
              <w:rPr/>
              <w:t> </w:t>
            </w:r>
          </w:p>
          <w:p>
            <w:pPr>
              <w:pStyle w:val="TableContents"/>
              <w:bidi w:val="0"/>
              <w:spacing w:before="1" w:after="283"/>
              <w:ind w:left="0" w:right="0" w:firstLine="623"/>
              <w:jc w:val="left"/>
              <w:rPr>
                <w:rFonts w:ascii="Times New Roman" w:hAnsi="Times New Roman"/>
                <w:color w:val="000000"/>
                <w:sz w:val="24"/>
                <w:u w:val="single"/>
              </w:rPr>
            </w:pPr>
            <w:r>
              <w:rPr>
                <w:rFonts w:ascii="Times New Roman" w:hAnsi="Times New Roman"/>
                <w:color w:val="000000"/>
                <w:sz w:val="24"/>
                <w:u w:val="single"/>
              </w:rPr>
              <w:t>Annual Base Rent</w:t>
            </w:r>
          </w:p>
        </w:tc>
        <w:tc>
          <w:tcPr>
            <w:tcW w:w="2298" w:type="dxa"/>
            <w:tcBorders/>
            <w:vAlign w:val="center"/>
          </w:tcPr>
          <w:p>
            <w:pPr>
              <w:pStyle w:val="TableContents"/>
              <w:pBdr/>
              <w:bidi w:val="0"/>
              <w:spacing w:before="266" w:after="283"/>
              <w:ind w:left="0" w:right="0" w:firstLine="156"/>
              <w:jc w:val="left"/>
              <w:rPr>
                <w:rFonts w:ascii="Times New Roman" w:hAnsi="Times New Roman"/>
                <w:sz w:val="24"/>
              </w:rPr>
            </w:pPr>
            <w:r>
              <w:rPr>
                <w:rFonts w:ascii="Times New Roman" w:hAnsi="Times New Roman"/>
                <w:color w:val="000000"/>
                <w:sz w:val="24"/>
              </w:rPr>
              <w:t xml:space="preserve">Monthly Installment </w:t>
            </w:r>
            <w:r>
              <w:rPr>
                <w:rFonts w:ascii="Times New Roman" w:hAnsi="Times New Roman"/>
                <w:color w:val="000000"/>
                <w:sz w:val="24"/>
                <w:u w:val="single"/>
              </w:rPr>
              <w:t>of Base Rent</w:t>
            </w:r>
          </w:p>
        </w:tc>
        <w:tc>
          <w:tcPr>
            <w:tcW w:w="4232" w:type="dxa"/>
            <w:tcBorders/>
            <w:vAlign w:val="center"/>
          </w:tcPr>
          <w:p>
            <w:pPr>
              <w:pStyle w:val="TableContents"/>
              <w:bidi w:val="0"/>
              <w:spacing w:before="0" w:after="283"/>
              <w:ind w:left="0" w:right="0" w:firstLine="803"/>
              <w:jc w:val="left"/>
              <w:rPr>
                <w:rFonts w:ascii="Times New Roman" w:hAnsi="Times New Roman"/>
                <w:sz w:val="24"/>
              </w:rPr>
            </w:pPr>
            <w:r>
              <w:rPr>
                <w:rFonts w:ascii="Times New Roman" w:hAnsi="Times New Roman"/>
                <w:color w:val="000000"/>
                <w:sz w:val="24"/>
              </w:rPr>
              <w:t xml:space="preserve">Approximate Monthly Base Rent per </w:t>
            </w:r>
            <w:r>
              <w:rPr>
                <w:rFonts w:ascii="Times New Roman" w:hAnsi="Times New Roman"/>
                <w:color w:val="000000"/>
                <w:sz w:val="24"/>
                <w:u w:val="single"/>
              </w:rPr>
              <w:t>Rentable Square Foot</w:t>
            </w:r>
          </w:p>
        </w:tc>
      </w:tr>
      <w:tr>
        <w:trPr/>
        <w:tc>
          <w:tcPr>
            <w:tcW w:w="1762" w:type="dxa"/>
            <w:tcBorders/>
            <w:vAlign w:val="center"/>
          </w:tcPr>
          <w:p>
            <w:pPr>
              <w:pStyle w:val="TableContents"/>
              <w:bidi w:val="0"/>
              <w:spacing w:before="55" w:after="283"/>
              <w:ind w:left="0" w:right="0" w:firstLine="84"/>
              <w:jc w:val="left"/>
              <w:rPr>
                <w:rFonts w:ascii="Times New Roman" w:hAnsi="Times New Roman"/>
                <w:color w:val="000000"/>
                <w:sz w:val="24"/>
              </w:rPr>
            </w:pPr>
            <w:r>
              <w:rPr>
                <w:rFonts w:ascii="Times New Roman" w:hAnsi="Times New Roman"/>
                <w:color w:val="000000"/>
                <w:sz w:val="24"/>
              </w:rPr>
              <w:t>1</w:t>
            </w:r>
          </w:p>
        </w:tc>
        <w:tc>
          <w:tcPr>
            <w:tcW w:w="1913" w:type="dxa"/>
            <w:tcBorders/>
            <w:vAlign w:val="center"/>
          </w:tcPr>
          <w:p>
            <w:pPr>
              <w:pStyle w:val="TableContents"/>
              <w:bidi w:val="0"/>
              <w:spacing w:before="55" w:after="283"/>
              <w:ind w:left="0" w:right="0" w:firstLine="105"/>
              <w:jc w:val="left"/>
              <w:rPr>
                <w:rFonts w:ascii="Times New Roman" w:hAnsi="Times New Roman"/>
                <w:color w:val="000000"/>
                <w:sz w:val="24"/>
              </w:rPr>
            </w:pPr>
            <w:r>
              <w:rPr>
                <w:rFonts w:ascii="Times New Roman" w:hAnsi="Times New Roman"/>
                <w:color w:val="000000"/>
                <w:sz w:val="24"/>
              </w:rPr>
              <w:t>$240,855.36</w:t>
            </w:r>
          </w:p>
        </w:tc>
        <w:tc>
          <w:tcPr>
            <w:tcW w:w="2298" w:type="dxa"/>
            <w:tcBorders/>
            <w:vAlign w:val="center"/>
          </w:tcPr>
          <w:p>
            <w:pPr>
              <w:pStyle w:val="TableContents"/>
              <w:bidi w:val="0"/>
              <w:spacing w:before="55" w:after="283"/>
              <w:ind w:left="0" w:right="0" w:firstLine="103"/>
              <w:jc w:val="left"/>
              <w:rPr>
                <w:rFonts w:ascii="Times New Roman" w:hAnsi="Times New Roman"/>
                <w:color w:val="000000"/>
                <w:sz w:val="24"/>
              </w:rPr>
            </w:pPr>
            <w:r>
              <w:rPr>
                <w:rFonts w:ascii="Times New Roman" w:hAnsi="Times New Roman"/>
                <w:color w:val="000000"/>
                <w:sz w:val="24"/>
              </w:rPr>
              <w:t>$20,071.28</w:t>
            </w:r>
          </w:p>
        </w:tc>
        <w:tc>
          <w:tcPr>
            <w:tcW w:w="4232" w:type="dxa"/>
            <w:tcBorders/>
            <w:vAlign w:val="center"/>
          </w:tcPr>
          <w:p>
            <w:pPr>
              <w:pStyle w:val="TableContents"/>
              <w:bidi w:val="0"/>
              <w:spacing w:before="55" w:after="283"/>
              <w:ind w:left="0" w:right="0" w:firstLine="803"/>
              <w:jc w:val="left"/>
              <w:rPr>
                <w:rFonts w:ascii="Times New Roman" w:hAnsi="Times New Roman"/>
                <w:color w:val="000000"/>
                <w:sz w:val="24"/>
              </w:rPr>
            </w:pPr>
            <w:r>
              <w:rPr>
                <w:rFonts w:ascii="Times New Roman" w:hAnsi="Times New Roman"/>
                <w:color w:val="000000"/>
                <w:sz w:val="24"/>
              </w:rPr>
              <w:t>$0.89</w:t>
            </w:r>
          </w:p>
        </w:tc>
      </w:tr>
      <w:tr>
        <w:trPr/>
        <w:tc>
          <w:tcPr>
            <w:tcW w:w="1762" w:type="dxa"/>
            <w:tcBorders/>
            <w:vAlign w:val="center"/>
          </w:tcPr>
          <w:p>
            <w:pPr>
              <w:pStyle w:val="TableContents"/>
              <w:bidi w:val="0"/>
              <w:spacing w:before="115" w:after="283"/>
              <w:ind w:left="0" w:right="0" w:firstLine="84"/>
              <w:jc w:val="left"/>
              <w:rPr>
                <w:rFonts w:ascii="Times New Roman" w:hAnsi="Times New Roman"/>
                <w:color w:val="000000"/>
                <w:sz w:val="24"/>
              </w:rPr>
            </w:pPr>
            <w:r>
              <w:rPr>
                <w:rFonts w:ascii="Times New Roman" w:hAnsi="Times New Roman"/>
                <w:color w:val="000000"/>
                <w:sz w:val="24"/>
              </w:rPr>
              <w:t>2</w:t>
            </w:r>
          </w:p>
        </w:tc>
        <w:tc>
          <w:tcPr>
            <w:tcW w:w="1913" w:type="dxa"/>
            <w:tcBorders/>
            <w:vAlign w:val="center"/>
          </w:tcPr>
          <w:p>
            <w:pPr>
              <w:pStyle w:val="TableContents"/>
              <w:bidi w:val="0"/>
              <w:spacing w:before="115" w:after="283"/>
              <w:ind w:left="0" w:right="0" w:firstLine="105"/>
              <w:jc w:val="left"/>
              <w:rPr>
                <w:rFonts w:ascii="Times New Roman" w:hAnsi="Times New Roman"/>
                <w:color w:val="000000"/>
                <w:sz w:val="24"/>
              </w:rPr>
            </w:pPr>
            <w:r>
              <w:rPr>
                <w:rFonts w:ascii="Times New Roman" w:hAnsi="Times New Roman"/>
                <w:color w:val="000000"/>
                <w:sz w:val="24"/>
              </w:rPr>
              <w:t>$335,573.76</w:t>
            </w:r>
          </w:p>
        </w:tc>
        <w:tc>
          <w:tcPr>
            <w:tcW w:w="2298" w:type="dxa"/>
            <w:tcBorders/>
            <w:vAlign w:val="center"/>
          </w:tcPr>
          <w:p>
            <w:pPr>
              <w:pStyle w:val="TableContents"/>
              <w:bidi w:val="0"/>
              <w:spacing w:before="115" w:after="283"/>
              <w:ind w:left="0" w:right="0" w:firstLine="103"/>
              <w:jc w:val="left"/>
              <w:rPr>
                <w:rFonts w:ascii="Times New Roman" w:hAnsi="Times New Roman"/>
                <w:color w:val="000000"/>
                <w:sz w:val="24"/>
              </w:rPr>
            </w:pPr>
            <w:r>
              <w:rPr>
                <w:rFonts w:ascii="Times New Roman" w:hAnsi="Times New Roman"/>
                <w:color w:val="000000"/>
                <w:sz w:val="24"/>
              </w:rPr>
              <w:t>$27,964.48</w:t>
            </w:r>
          </w:p>
        </w:tc>
        <w:tc>
          <w:tcPr>
            <w:tcW w:w="4232" w:type="dxa"/>
            <w:tcBorders/>
            <w:vAlign w:val="center"/>
          </w:tcPr>
          <w:p>
            <w:pPr>
              <w:pStyle w:val="TableContents"/>
              <w:bidi w:val="0"/>
              <w:spacing w:before="115" w:after="283"/>
              <w:ind w:left="0" w:right="0" w:firstLine="803"/>
              <w:jc w:val="left"/>
              <w:rPr>
                <w:rFonts w:ascii="Times New Roman" w:hAnsi="Times New Roman"/>
                <w:color w:val="000000"/>
                <w:sz w:val="24"/>
              </w:rPr>
            </w:pPr>
            <w:r>
              <w:rPr>
                <w:rFonts w:ascii="Times New Roman" w:hAnsi="Times New Roman"/>
                <w:color w:val="000000"/>
                <w:sz w:val="24"/>
              </w:rPr>
              <w:t>$1.24</w:t>
            </w:r>
          </w:p>
        </w:tc>
      </w:tr>
      <w:tr>
        <w:trPr/>
        <w:tc>
          <w:tcPr>
            <w:tcW w:w="1762" w:type="dxa"/>
            <w:tcBorders/>
            <w:vAlign w:val="center"/>
          </w:tcPr>
          <w:p>
            <w:pPr>
              <w:pStyle w:val="TableContents"/>
              <w:bidi w:val="0"/>
              <w:spacing w:before="115" w:after="283"/>
              <w:ind w:left="0" w:right="0" w:firstLine="84"/>
              <w:jc w:val="left"/>
              <w:rPr>
                <w:rFonts w:ascii="Times New Roman" w:hAnsi="Times New Roman"/>
                <w:color w:val="000000"/>
                <w:sz w:val="24"/>
              </w:rPr>
            </w:pPr>
            <w:r>
              <w:rPr>
                <w:rFonts w:ascii="Times New Roman" w:hAnsi="Times New Roman"/>
                <w:color w:val="000000"/>
                <w:sz w:val="24"/>
              </w:rPr>
              <w:t>3</w:t>
            </w:r>
          </w:p>
        </w:tc>
        <w:tc>
          <w:tcPr>
            <w:tcW w:w="1913" w:type="dxa"/>
            <w:tcBorders/>
            <w:vAlign w:val="center"/>
          </w:tcPr>
          <w:p>
            <w:pPr>
              <w:pStyle w:val="TableContents"/>
              <w:bidi w:val="0"/>
              <w:spacing w:before="115" w:after="283"/>
              <w:ind w:left="0" w:right="0" w:firstLine="105"/>
              <w:jc w:val="left"/>
              <w:rPr>
                <w:rFonts w:ascii="Times New Roman" w:hAnsi="Times New Roman"/>
                <w:color w:val="000000"/>
                <w:sz w:val="24"/>
              </w:rPr>
            </w:pPr>
            <w:r>
              <w:rPr>
                <w:rFonts w:ascii="Times New Roman" w:hAnsi="Times New Roman"/>
                <w:color w:val="000000"/>
                <w:sz w:val="24"/>
              </w:rPr>
              <w:t>$552,072.96</w:t>
            </w:r>
          </w:p>
        </w:tc>
        <w:tc>
          <w:tcPr>
            <w:tcW w:w="2298" w:type="dxa"/>
            <w:tcBorders/>
            <w:vAlign w:val="center"/>
          </w:tcPr>
          <w:p>
            <w:pPr>
              <w:pStyle w:val="TableContents"/>
              <w:bidi w:val="0"/>
              <w:spacing w:before="115" w:after="283"/>
              <w:ind w:left="0" w:right="0" w:firstLine="103"/>
              <w:jc w:val="left"/>
              <w:rPr>
                <w:rFonts w:ascii="Times New Roman" w:hAnsi="Times New Roman"/>
                <w:color w:val="000000"/>
                <w:sz w:val="24"/>
              </w:rPr>
            </w:pPr>
            <w:r>
              <w:rPr>
                <w:rFonts w:ascii="Times New Roman" w:hAnsi="Times New Roman"/>
                <w:color w:val="000000"/>
                <w:sz w:val="24"/>
              </w:rPr>
              <w:t>$46,006.08</w:t>
            </w:r>
          </w:p>
        </w:tc>
        <w:tc>
          <w:tcPr>
            <w:tcW w:w="4232" w:type="dxa"/>
            <w:tcBorders/>
            <w:vAlign w:val="center"/>
          </w:tcPr>
          <w:p>
            <w:pPr>
              <w:pStyle w:val="TableContents"/>
              <w:bidi w:val="0"/>
              <w:spacing w:before="115" w:after="283"/>
              <w:ind w:left="0" w:right="0" w:firstLine="803"/>
              <w:jc w:val="left"/>
              <w:rPr>
                <w:rFonts w:ascii="Times New Roman" w:hAnsi="Times New Roman"/>
                <w:color w:val="000000"/>
                <w:sz w:val="24"/>
              </w:rPr>
            </w:pPr>
            <w:r>
              <w:rPr>
                <w:rFonts w:ascii="Times New Roman" w:hAnsi="Times New Roman"/>
                <w:color w:val="000000"/>
                <w:sz w:val="24"/>
              </w:rPr>
              <w:t>$2.04</w:t>
            </w:r>
          </w:p>
        </w:tc>
      </w:tr>
      <w:tr>
        <w:trPr/>
        <w:tc>
          <w:tcPr>
            <w:tcW w:w="1762" w:type="dxa"/>
            <w:tcBorders/>
            <w:vAlign w:val="center"/>
          </w:tcPr>
          <w:p>
            <w:pPr>
              <w:pStyle w:val="TableContents"/>
              <w:bidi w:val="0"/>
              <w:spacing w:before="115" w:after="283"/>
              <w:ind w:left="0" w:right="0" w:firstLine="84"/>
              <w:jc w:val="left"/>
              <w:rPr>
                <w:rFonts w:ascii="Times New Roman" w:hAnsi="Times New Roman"/>
                <w:color w:val="000000"/>
                <w:sz w:val="24"/>
              </w:rPr>
            </w:pPr>
            <w:r>
              <w:rPr>
                <w:rFonts w:ascii="Times New Roman" w:hAnsi="Times New Roman"/>
                <w:color w:val="000000"/>
                <w:sz w:val="24"/>
              </w:rPr>
              <w:t>4</w:t>
            </w:r>
          </w:p>
        </w:tc>
        <w:tc>
          <w:tcPr>
            <w:tcW w:w="1913" w:type="dxa"/>
            <w:tcBorders/>
            <w:vAlign w:val="center"/>
          </w:tcPr>
          <w:p>
            <w:pPr>
              <w:pStyle w:val="TableContents"/>
              <w:bidi w:val="0"/>
              <w:spacing w:before="115" w:after="283"/>
              <w:ind w:left="0" w:right="0" w:firstLine="105"/>
              <w:jc w:val="left"/>
              <w:rPr>
                <w:rFonts w:ascii="Times New Roman" w:hAnsi="Times New Roman"/>
                <w:color w:val="000000"/>
                <w:sz w:val="24"/>
              </w:rPr>
            </w:pPr>
            <w:r>
              <w:rPr>
                <w:rFonts w:ascii="Times New Roman" w:hAnsi="Times New Roman"/>
                <w:color w:val="000000"/>
                <w:sz w:val="24"/>
              </w:rPr>
              <w:t>$646,791.36</w:t>
            </w:r>
          </w:p>
        </w:tc>
        <w:tc>
          <w:tcPr>
            <w:tcW w:w="2298" w:type="dxa"/>
            <w:tcBorders/>
            <w:vAlign w:val="center"/>
          </w:tcPr>
          <w:p>
            <w:pPr>
              <w:pStyle w:val="TableContents"/>
              <w:bidi w:val="0"/>
              <w:spacing w:before="115" w:after="283"/>
              <w:ind w:left="0" w:right="0" w:firstLine="103"/>
              <w:jc w:val="left"/>
              <w:rPr>
                <w:rFonts w:ascii="Times New Roman" w:hAnsi="Times New Roman"/>
                <w:color w:val="000000"/>
                <w:sz w:val="24"/>
              </w:rPr>
            </w:pPr>
            <w:r>
              <w:rPr>
                <w:rFonts w:ascii="Times New Roman" w:hAnsi="Times New Roman"/>
                <w:color w:val="000000"/>
                <w:sz w:val="24"/>
              </w:rPr>
              <w:t>$53,899.28</w:t>
            </w:r>
          </w:p>
        </w:tc>
        <w:tc>
          <w:tcPr>
            <w:tcW w:w="4232" w:type="dxa"/>
            <w:tcBorders/>
            <w:vAlign w:val="center"/>
          </w:tcPr>
          <w:p>
            <w:pPr>
              <w:pStyle w:val="TableContents"/>
              <w:bidi w:val="0"/>
              <w:spacing w:before="115" w:after="283"/>
              <w:ind w:left="0" w:right="0" w:firstLine="803"/>
              <w:jc w:val="left"/>
              <w:rPr>
                <w:rFonts w:ascii="Times New Roman" w:hAnsi="Times New Roman"/>
                <w:color w:val="000000"/>
                <w:sz w:val="24"/>
              </w:rPr>
            </w:pPr>
            <w:r>
              <w:rPr>
                <w:rFonts w:ascii="Times New Roman" w:hAnsi="Times New Roman"/>
                <w:color w:val="000000"/>
                <w:sz w:val="24"/>
              </w:rPr>
              <w:t>$2.39</w:t>
            </w:r>
          </w:p>
        </w:tc>
      </w:tr>
      <w:tr>
        <w:trPr/>
        <w:tc>
          <w:tcPr>
            <w:tcW w:w="1762" w:type="dxa"/>
            <w:tcBorders/>
            <w:vAlign w:val="center"/>
          </w:tcPr>
          <w:p>
            <w:pPr>
              <w:pStyle w:val="TableContents"/>
              <w:bidi w:val="0"/>
              <w:spacing w:before="115" w:after="283"/>
              <w:ind w:left="0" w:right="0" w:firstLine="84"/>
              <w:jc w:val="left"/>
              <w:rPr>
                <w:rFonts w:ascii="Times New Roman" w:hAnsi="Times New Roman"/>
                <w:color w:val="000000"/>
                <w:sz w:val="24"/>
              </w:rPr>
            </w:pPr>
            <w:r>
              <w:rPr>
                <w:rFonts w:ascii="Times New Roman" w:hAnsi="Times New Roman"/>
                <w:color w:val="000000"/>
                <w:sz w:val="24"/>
              </w:rPr>
              <w:t>5</w:t>
            </w:r>
          </w:p>
        </w:tc>
        <w:tc>
          <w:tcPr>
            <w:tcW w:w="1913" w:type="dxa"/>
            <w:tcBorders/>
            <w:vAlign w:val="center"/>
          </w:tcPr>
          <w:p>
            <w:pPr>
              <w:pStyle w:val="TableContents"/>
              <w:bidi w:val="0"/>
              <w:spacing w:before="115" w:after="283"/>
              <w:ind w:left="0" w:right="0" w:firstLine="105"/>
              <w:jc w:val="left"/>
              <w:rPr>
                <w:rFonts w:ascii="Times New Roman" w:hAnsi="Times New Roman"/>
                <w:color w:val="000000"/>
                <w:sz w:val="24"/>
              </w:rPr>
            </w:pPr>
            <w:r>
              <w:rPr>
                <w:rFonts w:ascii="Times New Roman" w:hAnsi="Times New Roman"/>
                <w:color w:val="000000"/>
                <w:sz w:val="24"/>
              </w:rPr>
              <w:t>$660,322.56</w:t>
            </w:r>
          </w:p>
        </w:tc>
        <w:tc>
          <w:tcPr>
            <w:tcW w:w="2298" w:type="dxa"/>
            <w:tcBorders/>
            <w:vAlign w:val="center"/>
          </w:tcPr>
          <w:p>
            <w:pPr>
              <w:pStyle w:val="TableContents"/>
              <w:bidi w:val="0"/>
              <w:spacing w:before="115" w:after="283"/>
              <w:ind w:left="0" w:right="0" w:firstLine="103"/>
              <w:jc w:val="left"/>
              <w:rPr>
                <w:rFonts w:ascii="Times New Roman" w:hAnsi="Times New Roman"/>
                <w:color w:val="000000"/>
                <w:sz w:val="24"/>
              </w:rPr>
            </w:pPr>
            <w:r>
              <w:rPr>
                <w:rFonts w:ascii="Times New Roman" w:hAnsi="Times New Roman"/>
                <w:color w:val="000000"/>
                <w:sz w:val="24"/>
              </w:rPr>
              <w:t>$55,026.88</w:t>
            </w:r>
          </w:p>
        </w:tc>
        <w:tc>
          <w:tcPr>
            <w:tcW w:w="4232" w:type="dxa"/>
            <w:tcBorders/>
            <w:vAlign w:val="center"/>
          </w:tcPr>
          <w:p>
            <w:pPr>
              <w:pStyle w:val="TableContents"/>
              <w:bidi w:val="0"/>
              <w:spacing w:before="115" w:after="283"/>
              <w:ind w:left="0" w:right="0" w:firstLine="803"/>
              <w:jc w:val="left"/>
              <w:rPr>
                <w:rFonts w:ascii="Times New Roman" w:hAnsi="Times New Roman"/>
                <w:color w:val="000000"/>
                <w:sz w:val="24"/>
              </w:rPr>
            </w:pPr>
            <w:r>
              <w:rPr>
                <w:rFonts w:ascii="Times New Roman" w:hAnsi="Times New Roman"/>
                <w:color w:val="000000"/>
                <w:sz w:val="24"/>
              </w:rPr>
              <w:t>$2.44</w:t>
            </w:r>
          </w:p>
        </w:tc>
      </w:tr>
      <w:tr>
        <w:trPr/>
        <w:tc>
          <w:tcPr>
            <w:tcW w:w="1762" w:type="dxa"/>
            <w:tcBorders/>
            <w:vAlign w:val="center"/>
          </w:tcPr>
          <w:p>
            <w:pPr>
              <w:pStyle w:val="TableContents"/>
              <w:bidi w:val="0"/>
              <w:spacing w:before="115" w:after="283"/>
              <w:ind w:left="0" w:right="0" w:firstLine="84"/>
              <w:jc w:val="left"/>
              <w:rPr>
                <w:rFonts w:ascii="Times New Roman" w:hAnsi="Times New Roman"/>
                <w:color w:val="000000"/>
                <w:sz w:val="24"/>
              </w:rPr>
            </w:pPr>
            <w:r>
              <w:rPr>
                <w:rFonts w:ascii="Times New Roman" w:hAnsi="Times New Roman"/>
                <w:color w:val="000000"/>
                <w:sz w:val="24"/>
              </w:rPr>
              <w:t>6</w:t>
            </w:r>
          </w:p>
        </w:tc>
        <w:tc>
          <w:tcPr>
            <w:tcW w:w="1913" w:type="dxa"/>
            <w:tcBorders/>
            <w:vAlign w:val="center"/>
          </w:tcPr>
          <w:p>
            <w:pPr>
              <w:pStyle w:val="TableContents"/>
              <w:bidi w:val="0"/>
              <w:spacing w:before="115" w:after="283"/>
              <w:ind w:left="0" w:right="0" w:firstLine="105"/>
              <w:jc w:val="left"/>
              <w:rPr>
                <w:rFonts w:ascii="Times New Roman" w:hAnsi="Times New Roman"/>
                <w:color w:val="000000"/>
                <w:sz w:val="24"/>
              </w:rPr>
            </w:pPr>
            <w:r>
              <w:rPr>
                <w:rFonts w:ascii="Times New Roman" w:hAnsi="Times New Roman"/>
                <w:color w:val="000000"/>
                <w:sz w:val="24"/>
              </w:rPr>
              <w:t>$687,384.96</w:t>
            </w:r>
          </w:p>
        </w:tc>
        <w:tc>
          <w:tcPr>
            <w:tcW w:w="2298" w:type="dxa"/>
            <w:tcBorders/>
            <w:vAlign w:val="center"/>
          </w:tcPr>
          <w:p>
            <w:pPr>
              <w:pStyle w:val="TableContents"/>
              <w:bidi w:val="0"/>
              <w:spacing w:before="115" w:after="283"/>
              <w:ind w:left="0" w:right="0" w:firstLine="103"/>
              <w:jc w:val="left"/>
              <w:rPr>
                <w:rFonts w:ascii="Times New Roman" w:hAnsi="Times New Roman"/>
                <w:color w:val="000000"/>
                <w:sz w:val="24"/>
              </w:rPr>
            </w:pPr>
            <w:r>
              <w:rPr>
                <w:rFonts w:ascii="Times New Roman" w:hAnsi="Times New Roman"/>
                <w:color w:val="000000"/>
                <w:sz w:val="24"/>
              </w:rPr>
              <w:t>$57,282.08</w:t>
            </w:r>
          </w:p>
        </w:tc>
        <w:tc>
          <w:tcPr>
            <w:tcW w:w="4232" w:type="dxa"/>
            <w:tcBorders/>
            <w:vAlign w:val="center"/>
          </w:tcPr>
          <w:p>
            <w:pPr>
              <w:pStyle w:val="TableContents"/>
              <w:bidi w:val="0"/>
              <w:spacing w:before="115" w:after="283"/>
              <w:ind w:left="103" w:right="0" w:firstLine="103"/>
              <w:jc w:val="left"/>
              <w:rPr>
                <w:rFonts w:ascii="Times New Roman" w:hAnsi="Times New Roman"/>
                <w:color w:val="000000"/>
                <w:sz w:val="24"/>
              </w:rPr>
            </w:pPr>
            <w:r>
              <w:rPr>
                <w:rFonts w:ascii="Times New Roman" w:hAnsi="Times New Roman"/>
                <w:color w:val="000000"/>
                <w:sz w:val="24"/>
              </w:rPr>
              <w:t>$2.54</w:t>
            </w:r>
          </w:p>
        </w:tc>
      </w:tr>
    </w:tbl>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 For purposes of this First Amendment, the term "</w:t>
      </w:r>
      <w:r>
        <w:rPr>
          <w:rFonts w:ascii="Times New Roman" w:hAnsi="Times New Roman"/>
          <w:b/>
          <w:color w:val="000000"/>
          <w:sz w:val="24"/>
        </w:rPr>
        <w:t>Expansion Lease Year</w:t>
      </w:r>
      <w:r>
        <w:rPr>
          <w:rFonts w:ascii="Times New Roman" w:hAnsi="Times New Roman"/>
          <w:color w:val="000000"/>
          <w:sz w:val="24"/>
        </w:rPr>
        <w:t>" shall mean each consecutive twelve (12) month period during the Expansion Term; provided, however, that the first (1</w:t>
      </w:r>
      <w:r>
        <w:rPr>
          <w:rFonts w:ascii="Times New Roman" w:hAnsi="Times New Roman"/>
          <w:color w:val="000000"/>
          <w:sz w:val="16"/>
        </w:rPr>
        <w:t>st</w:t>
      </w:r>
      <w:r>
        <w:rPr>
          <w:rFonts w:ascii="Times New Roman" w:hAnsi="Times New Roman"/>
          <w:color w:val="000000"/>
          <w:sz w:val="24"/>
        </w:rPr>
        <w:t>) Expansion Lease Year shall commence on the Expansion Commencement Date and end on the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last day of the month in which the first anniversary of the Expansion Commencement Date occurs (or if the Expansion Commencement Date is the first (1</w:t>
      </w:r>
      <w:r>
        <w:rPr>
          <w:rFonts w:ascii="Times New Roman" w:hAnsi="Times New Roman"/>
          <w:color w:val="000000"/>
          <w:sz w:val="16"/>
        </w:rPr>
        <w:t>st</w:t>
      </w:r>
      <w:r>
        <w:rPr>
          <w:rFonts w:ascii="Times New Roman" w:hAnsi="Times New Roman"/>
          <w:color w:val="000000"/>
          <w:sz w:val="24"/>
        </w:rPr>
        <w:t>) day of a calendar month, then the first (1</w:t>
      </w:r>
      <w:r>
        <w:rPr>
          <w:rFonts w:ascii="Times New Roman" w:hAnsi="Times New Roman"/>
          <w:color w:val="000000"/>
          <w:sz w:val="16"/>
        </w:rPr>
        <w:t>st</w:t>
      </w:r>
      <w:r>
        <w:rPr>
          <w:rFonts w:ascii="Times New Roman" w:hAnsi="Times New Roman"/>
          <w:color w:val="000000"/>
          <w:sz w:val="24"/>
        </w:rPr>
        <w:t>) Expansion Lease Year shall commence on the Expansion Commencement Date and end on the day immediately preceding the first (1</w:t>
      </w:r>
      <w:r>
        <w:rPr>
          <w:rFonts w:ascii="Times New Roman" w:hAnsi="Times New Roman"/>
          <w:color w:val="000000"/>
          <w:sz w:val="16"/>
        </w:rPr>
        <w:t>st</w:t>
      </w:r>
      <w:r>
        <w:rPr>
          <w:rFonts w:ascii="Times New Roman" w:hAnsi="Times New Roman"/>
          <w:color w:val="000000"/>
          <w:sz w:val="24"/>
        </w:rPr>
        <w:t>) anniversary of the Expansion Commencement Date), and further provided that the last Expansion Lease Year shall end on the New Expiration Date.</w:t>
      </w:r>
    </w:p>
    <w:p>
      <w:pPr>
        <w:pStyle w:val="TextBody"/>
        <w:bidi w:val="0"/>
        <w:jc w:val="left"/>
        <w:rPr/>
      </w:pPr>
      <w:r>
        <w:rPr/>
        <w:t> </w:t>
      </w:r>
    </w:p>
    <w:p>
      <w:pPr>
        <w:pStyle w:val="TextBody"/>
        <w:bidi w:val="0"/>
        <w:spacing w:before="84"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0"/>
        <w:jc w:val="left"/>
        <w:rPr/>
      </w:pPr>
      <w:r>
        <w:rPr>
          <w:rFonts w:ascii="Times New Roman" w:hAnsi="Times New Roman"/>
          <w:b/>
          <w:color w:val="000000"/>
          <w:sz w:val="24"/>
          <w:u w:val="single"/>
        </w:rPr>
        <w:t>Tenant's Share of Building Direct Expenses</w:t>
      </w:r>
      <w:r>
        <w:rPr>
          <w:rFonts w:ascii="Times New Roman" w:hAnsi="Times New Roman"/>
          <w:color w:val="000000"/>
          <w:sz w:val="24"/>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6.1.</w:t>
      </w:r>
    </w:p>
    <w:p>
      <w:pPr>
        <w:pStyle w:val="TextBody"/>
        <w:bidi w:val="0"/>
        <w:spacing w:before="241" w:after="283"/>
        <w:jc w:val="both"/>
        <w:rPr/>
      </w:pPr>
      <w:r>
        <w:rPr>
          <w:rFonts w:ascii="Times New Roman" w:hAnsi="Times New Roman"/>
          <w:b/>
          <w:color w:val="000000"/>
          <w:sz w:val="24"/>
          <w:u w:val="single"/>
        </w:rPr>
        <w:t>Existing Premises</w:t>
      </w:r>
      <w:r>
        <w:rPr>
          <w:rFonts w:ascii="Times New Roman" w:hAnsi="Times New Roman"/>
          <w:b/>
          <w:color w:val="000000"/>
          <w:sz w:val="24"/>
        </w:rPr>
        <w:t xml:space="preserve">. </w:t>
      </w:r>
      <w:r>
        <w:rPr>
          <w:rFonts w:ascii="Times New Roman" w:hAnsi="Times New Roman"/>
          <w:color w:val="000000"/>
          <w:sz w:val="24"/>
        </w:rPr>
        <w:t>Tenant shall continue to pay Tenant's Share of Direct Expenses arising or accruing prior the Expansion Commencement Date in connection with the Existing Premises in accordance with the terms of the Lease.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6.2.</w:t>
      </w:r>
    </w:p>
    <w:p>
      <w:pPr>
        <w:pStyle w:val="TextBody"/>
        <w:bidi w:val="0"/>
        <w:spacing w:before="240" w:after="283"/>
        <w:jc w:val="both"/>
        <w:rPr/>
      </w:pPr>
      <w:r>
        <w:rPr>
          <w:rFonts w:ascii="Times New Roman" w:hAnsi="Times New Roman"/>
          <w:b/>
          <w:color w:val="000000"/>
          <w:sz w:val="24"/>
          <w:u w:val="single"/>
        </w:rPr>
        <w:t>Expansion Premises</w:t>
      </w:r>
      <w:r>
        <w:rPr>
          <w:rFonts w:ascii="Times New Roman" w:hAnsi="Times New Roman"/>
          <w:color w:val="000000"/>
          <w:sz w:val="24"/>
        </w:rPr>
        <w:t>. Commencing on the Expansion Commencement Date, and continuing throughout the Expansion Term, Tenant shall pay Tenant's Share of Direct Expenses in connection with the Expansion Premises in accordance with the terms of the Lease, provided that with respect to the calculation of Tenant's Share of Direct Expenses in connection with the Expansion Premises, Tenant's Share shall equal 51.99%.</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b/>
          <w:color w:val="000000"/>
          <w:sz w:val="24"/>
          <w:u w:val="single"/>
        </w:rPr>
        <w:t>Expansion Improvements</w:t>
      </w:r>
      <w:r>
        <w:rPr>
          <w:rFonts w:ascii="Times New Roman" w:hAnsi="Times New Roman"/>
          <w:color w:val="000000"/>
          <w:sz w:val="24"/>
        </w:rPr>
        <w:t>. Except as specifically set forth herein, Landlord shall not be obligated to provide or pay for any improvement work or services related to the improvement of the Existing Premises or the Expansion Premises, and Tenant shall continue to accept the Existing Premises, and accept the Expansion Premises in their presently existing, "as- is" condition. Notwithstanding the foregoing, Landlord shall provide Tenant with the Tenant Improvement Allowance and Tenant shall construct the improvements in the Expansion Premises pursuant to the terms of the Tenant Work Letter.</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1" w:after="283"/>
        <w:jc w:val="both"/>
        <w:rPr/>
      </w:pPr>
      <w:r>
        <w:rPr>
          <w:rFonts w:ascii="Times New Roman" w:hAnsi="Times New Roman"/>
          <w:b/>
          <w:color w:val="000000"/>
          <w:sz w:val="24"/>
          <w:u w:val="single"/>
        </w:rPr>
        <w:t>Broker</w:t>
      </w:r>
      <w:r>
        <w:rPr>
          <w:rFonts w:ascii="Times New Roman" w:hAnsi="Times New Roman"/>
          <w:color w:val="000000"/>
          <w:sz w:val="24"/>
        </w:rPr>
        <w:t>. Landlord and Tenant hereby warrant to each other that they have had no dealings with any real estate broker or agent in connection with the negotiation of this First Amendment other than Cresa and CBRE (the "</w:t>
      </w:r>
      <w:r>
        <w:rPr>
          <w:rFonts w:ascii="Times New Roman" w:hAnsi="Times New Roman"/>
          <w:b/>
          <w:color w:val="000000"/>
          <w:sz w:val="24"/>
        </w:rPr>
        <w:t>Brokers</w:t>
      </w:r>
      <w:r>
        <w:rPr>
          <w:rFonts w:ascii="Times New Roman" w:hAnsi="Times New Roman"/>
          <w:color w:val="000000"/>
          <w:sz w:val="24"/>
        </w:rPr>
        <w:t xml:space="preserve">"), and that they know of no other real estate broker or agent who is entitled to a commission in connection with this First Amendment. Each party agrees to indemnify and defend the other party against and hold the other party harmless from and against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other than the Brokers, occurring by, through, or under the indemnifying party. The terms of this </w:t>
      </w:r>
      <w:r>
        <w:rPr>
          <w:rFonts w:ascii="Times New Roman" w:hAnsi="Times New Roman"/>
          <w:color w:val="000000"/>
          <w:sz w:val="24"/>
          <w:u w:val="single"/>
        </w:rPr>
        <w:t>Section 8</w:t>
      </w:r>
      <w:r>
        <w:rPr>
          <w:color w:val="000000"/>
        </w:rPr>
        <w:t xml:space="preserve"> </w:t>
      </w:r>
      <w:r>
        <w:rPr>
          <w:rFonts w:ascii="Times New Roman" w:hAnsi="Times New Roman"/>
          <w:color w:val="000000"/>
          <w:sz w:val="24"/>
        </w:rPr>
        <w:t>shall survive the expiration or earlier termination of the term of the Lease, as hereby amended.</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b/>
          <w:color w:val="000000"/>
          <w:sz w:val="24"/>
          <w:u w:val="single"/>
        </w:rPr>
        <w:t>Parking</w:t>
      </w:r>
      <w:r>
        <w:rPr>
          <w:rFonts w:ascii="Times New Roman" w:hAnsi="Times New Roman"/>
          <w:color w:val="000000"/>
          <w:sz w:val="24"/>
        </w:rPr>
        <w:t>. In addition to Tenant's parking rights set forth in the Lease, effective as of the Expansion Commencement Date and continuing throughout the entire Expansion Term, in connection with Tenant's lease of the Expansion Premises, Tenant shall have the right, but not the obligation, to use up to twenty-nine (29) unreserved parking spaces at the parking facilities of Landlord's neighboring office/laboratory project currently known as "Torrey Pines Science Park" and sixty-one (61) reserved parking spaces at the Building parking facilities, subject to the terms of Article 28 of the Lease.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b/>
          <w:color w:val="000000"/>
          <w:sz w:val="24"/>
          <w:u w:val="single"/>
        </w:rPr>
        <w:t>Security Deposit</w:t>
      </w:r>
      <w:r>
        <w:rPr>
          <w:rFonts w:ascii="Times New Roman" w:hAnsi="Times New Roman"/>
          <w:color w:val="000000"/>
          <w:sz w:val="24"/>
        </w:rPr>
        <w:t xml:space="preserve">. Notwithstanding anything in the Lease to the contrary, the Security Deposit held by Landlord pursuant to the Lease, as amended hereby, shall equal One Hundred Fifty-Four Thousand Ninety-Five and 92/100 Dollars ($154,095.92). Landlord and Tenant acknowledge that, in accordance with </w:t>
      </w:r>
      <w:r>
        <w:rPr>
          <w:rFonts w:ascii="Times New Roman" w:hAnsi="Times New Roman"/>
          <w:color w:val="000000"/>
          <w:sz w:val="24"/>
          <w:u w:val="single"/>
        </w:rPr>
        <w:t>Article 21</w:t>
      </w:r>
      <w:r>
        <w:rPr>
          <w:color w:val="000000"/>
        </w:rPr>
        <w:t xml:space="preserve"> </w:t>
      </w:r>
      <w:r>
        <w:rPr>
          <w:rFonts w:ascii="Times New Roman" w:hAnsi="Times New Roman"/>
          <w:color w:val="000000"/>
          <w:sz w:val="24"/>
        </w:rPr>
        <w:t>of the Lease, Tenant has previously delivered the sum of Ninety-Six Thousand Eight Hundred Thirteen and 84/100 Dollars ($96,813.84) (the "</w:t>
      </w:r>
      <w:r>
        <w:rPr>
          <w:rFonts w:ascii="Times New Roman" w:hAnsi="Times New Roman"/>
          <w:b/>
          <w:color w:val="000000"/>
          <w:sz w:val="24"/>
        </w:rPr>
        <w:t>Existing Security Deposit</w:t>
      </w:r>
      <w:r>
        <w:rPr>
          <w:rFonts w:ascii="Times New Roman" w:hAnsi="Times New Roman"/>
          <w:color w:val="000000"/>
          <w:sz w:val="24"/>
        </w:rPr>
        <w:t>") to Landlord as security for the faithful performance by Tenant of the terms, covenants and conditions of the Lease. Concurrently with Tenant's execution of this First Amendment, Tenant shall deposit with Landlord an amount equal to Fifty-Seven Thousand Two Hundred Eighty-Two and 08/100 Dollars ($57,282.08) to be held by Landlord as a part of the Security Deposit. To the extent that the total amount held by Landlord at any time as security for the Lease, as hereby amended, is less than One Hundred Fifty-Four Thousand Ninety-Five and 92/100 Dollars ($154,095.92), Tenant shall pay the difference to Landlord within ten (10) days following Tenant's receipt of notice thereof from Landlord.</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1" w:after="283"/>
        <w:jc w:val="both"/>
        <w:rPr/>
      </w:pPr>
      <w:r>
        <w:rPr>
          <w:rFonts w:ascii="Times New Roman" w:hAnsi="Times New Roman"/>
          <w:b/>
          <w:color w:val="000000"/>
          <w:sz w:val="24"/>
          <w:u w:val="single"/>
        </w:rPr>
        <w:t>Statutory Disclosure and Related Terms</w:t>
      </w:r>
      <w:r>
        <w:rPr>
          <w:rFonts w:ascii="Times New Roman" w:hAnsi="Times New Roman"/>
          <w:color w:val="000000"/>
          <w:sz w:val="24"/>
        </w:rPr>
        <w:t xml:space="preserve">. For purposes of Section 1938(a) of the California Civil Code, Landlord hereby discloses to Tenant, and Tenant hereby acknowledges, that the Expansion Premises have not undergone inspection by a Certified Access Specialist (CASp). As required by Section 1938(e) of the California Civil Code, Landlord hereby states as follows: “A Certified Access Specialist (CASp) can inspect the subject Expansion Premises and determine whether the subject Expansion Premises comply with all of the applicable construction-related accessibility standards under state law. Although state law does not require a CASp inspection of the subject Expansion Premises, the commercial property owner or lessor may not prohibit the lessee or tenant from obtaining a CASp inspection of the subject Expansion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Expansion Premises.” In furtherance of the foregoing, Landlord and Tenant hereby agree as follows: (a) any CASp inspection requested by Tenant shall be conducted, at Tenant's sole cost and expense, by a CASp approved in advance by Landlord, while any CASp inspection initiated by Landlord shall be conducted, at Landlord's sole cost and expense, by a CASp designated by Landlord; (b) with respect to improvements or repairs required to correct violations discovered during a CASp inspection initiated by Tenant, pursuant to </w:t>
      </w:r>
      <w:r>
        <w:rPr>
          <w:rFonts w:ascii="Times New Roman" w:hAnsi="Times New Roman"/>
          <w:color w:val="000000"/>
          <w:sz w:val="24"/>
          <w:u w:val="single"/>
        </w:rPr>
        <w:t>Article 24</w:t>
      </w:r>
      <w:r>
        <w:rPr>
          <w:color w:val="000000"/>
        </w:rPr>
        <w:t xml:space="preserve"> </w:t>
      </w:r>
      <w:r>
        <w:rPr>
          <w:rFonts w:ascii="Times New Roman" w:hAnsi="Times New Roman"/>
          <w:color w:val="000000"/>
          <w:sz w:val="24"/>
        </w:rPr>
        <w:t xml:space="preserve">of the Lease, Tenant, at its sole cost and expense, shall be responsible for making any improvements or repairs within the Expansion Premises to correct violations of construction-related accessibility standards; and (c) if anything done by or for Tenant in its use or occupancy of the Expansion Premises shall require any improvements or repairs to the Building or Project (outside the Expansion Premises) to correct violations of construction-related accessibility standards, then Tenant shall, at Landlord's option, either perform such repairs at Tenant's sole cost and expense or </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241" w:after="283"/>
        <w:jc w:val="both"/>
        <w:rPr/>
      </w:pPr>
      <w:r>
        <w:rPr>
          <w:rFonts w:ascii="Times New Roman" w:hAnsi="Times New Roman"/>
          <w:color w:val="000000"/>
          <w:sz w:val="24"/>
        </w:rPr>
        <w:t>reimburse Landlord upon demand, as Additional Rent, for the cost to Landlord of performing such repairs, provided that Landlord shall be solely responsible for the costs of performing such improvements or repairs to correct such violations of construction-related accessibility standards if such violations were discovered during a CASp inspection initiated by Landlord. The terms of this Section 11 do not amend or reduce the obligations of Landlord and Tenant set forth in Article 24 of the Lease regarding compliance with Applicable Laws, but apply solely to the obligations of Landlord and Tenant in connection with Tenant’s election to conduct a CASp inspection hereunder.</w:t>
      </w:r>
      <w:r>
        <w:rPr>
          <w:color w:val="000000"/>
        </w:rPr>
        <w:t xml:space="preserve"> </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 xml:space="preserve">No Further Modification. Except as set forth in this First Amendment, all of the terms and provisions of the Lease shall apply with respect to the Expansion Premises and shall remain unmodified and in full force and effect.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[signatures follow on next page]</w:t>
      </w:r>
    </w:p>
    <w:p>
      <w:pPr>
        <w:pStyle w:val="TextBody"/>
        <w:bidi w:val="0"/>
        <w:spacing w:before="8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80" w:after="283"/>
        <w:jc w:val="left"/>
        <w:rPr/>
      </w:pPr>
      <w:r>
        <w:rPr/>
        <w:t> </w:t>
      </w:r>
    </w:p>
    <w:p>
      <w:pPr>
        <w:pStyle w:val="TextBody"/>
        <w:bidi w:val="0"/>
        <w:spacing w:before="80" w:after="283"/>
        <w:jc w:val="left"/>
        <w:rPr>
          <w:rFonts w:ascii="Times New Roman" w:hAnsi="Times New Roman"/>
          <w:color w:val="000000"/>
          <w:sz w:val="24"/>
        </w:rPr>
      </w:pPr>
      <w:r>
        <w:rPr>
          <w:rFonts w:ascii="Times New Roman" w:hAnsi="Times New Roman"/>
          <w:color w:val="000000"/>
          <w:sz w:val="24"/>
        </w:rPr>
        <w:t>IN WITNESS WHEREOF, this First Amendment has been executed as of the day and year first above written.</w:t>
      </w:r>
    </w:p>
    <w:p>
      <w:pPr>
        <w:pStyle w:val="TextBody"/>
        <w:bidi w:val="0"/>
        <w:spacing w:before="80" w:after="283"/>
        <w:jc w:val="left"/>
        <w:rPr/>
      </w:pPr>
      <w:r>
        <w:rPr/>
        <w:t> </w:t>
      </w:r>
    </w:p>
    <w:tbl>
      <w:tblPr>
        <w:tblW w:w="6448" w:type="dxa"/>
        <w:jc w:val="left"/>
        <w:tblInd w:w="0" w:type="dxa"/>
        <w:tblLayout w:type="fixed"/>
        <w:tblCellMar>
          <w:top w:w="28" w:type="dxa"/>
          <w:left w:w="28" w:type="dxa"/>
          <w:bottom w:w="28" w:type="dxa"/>
          <w:right w:w="28" w:type="dxa"/>
        </w:tblCellMar>
      </w:tblPr>
      <w:tblGrid>
        <w:gridCol w:w="3136"/>
        <w:gridCol w:w="146"/>
        <w:gridCol w:w="316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"LANDLORD"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w:t>
            </w:r>
          </w:p>
        </w:tc>
      </w:tr>
      <w:tr>
        <w:trPr/>
        <w:tc>
          <w:tcPr>
            <w:tcW w:w="3136" w:type="dxa"/>
            <w:tcBorders/>
            <w:tcMar>
              <w:top w:w="0" w:type="dxa"/>
              <w:left w:w="0" w:type="dxa"/>
              <w:bottom w:w="0" w:type="dxa"/>
              <w:right w:w="0" w:type="dxa"/>
            </w:tcMar>
            <w:vAlign w:val="center"/>
          </w:tcPr>
          <w:p>
            <w:pPr>
              <w:pStyle w:val="TableContents"/>
              <w:bidi w:val="0"/>
              <w:spacing w:before="90" w:after="283"/>
              <w:jc w:val="left"/>
              <w:rPr>
                <w:rFonts w:ascii="Times New Roman" w:hAnsi="Times New Roman"/>
                <w:b/>
                <w:color w:val="000000"/>
                <w:sz w:val="24"/>
              </w:rPr>
            </w:pPr>
            <w:r>
              <w:rPr>
                <w:rFonts w:ascii="Times New Roman" w:hAnsi="Times New Roman"/>
                <w:b/>
                <w:color w:val="000000"/>
                <w:sz w:val="24"/>
              </w:rPr>
              <w:t>HCP TORREYANA,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90" w:after="283"/>
              <w:jc w:val="left"/>
              <w:rPr>
                <w:rFonts w:ascii="Times New Roman" w:hAnsi="Times New Roman"/>
                <w:b/>
                <w:color w:val="000000"/>
                <w:sz w:val="24"/>
              </w:rPr>
            </w:pPr>
            <w:r>
              <w:rPr>
                <w:rFonts w:ascii="Times New Roman" w:hAnsi="Times New Roman"/>
                <w:b/>
                <w:color w:val="000000"/>
                <w:sz w:val="24"/>
              </w:rPr>
              <w:t>BIOATLA, LLC,</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Delaware limited liability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Delaware limited liability company</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Michael Dorris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Jay Short</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Michael Dorris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Jay Short</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Vice President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Chairman &amp; CEO</w:t>
            </w:r>
          </w:p>
        </w:tc>
      </w:tr>
    </w:tbl>
    <w:p>
      <w:pPr>
        <w:pStyle w:val="TextBody"/>
        <w:bidi w:val="0"/>
        <w:spacing w:before="240" w:after="283"/>
        <w:jc w:val="left"/>
        <w:rPr/>
      </w:pPr>
      <w:r>
        <w:rPr/>
        <w:t> </w:t>
      </w:r>
    </w:p>
    <w:p>
      <w:pPr>
        <w:pStyle w:val="TextBody"/>
        <w:bidi w:val="0"/>
        <w:spacing w:before="5"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OUTLINE OF EXPANSION PREMISES</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3686175" cy="4743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5"/>
                    <a:stretch>
                      <a:fillRect/>
                    </a:stretch>
                  </pic:blipFill>
                  <pic:spPr bwMode="auto">
                    <a:xfrm>
                      <a:off x="0" y="0"/>
                      <a:ext cx="3686175" cy="4743450"/>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84" w:after="283"/>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205" w:after="283"/>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TENANT WORK LETTER</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This Tenant Work Letter shall set forth the terms and conditions relating to the initial improvement of the Expansion Premises for Tenant following the date of this First Amendment. This Tenant Work Letter is essentially organized chronologically and addresses the issues of construction, in sequence, as such issues will arise during construction in the Expansion Premises.</w:t>
      </w:r>
    </w:p>
    <w:p>
      <w:pPr>
        <w:pStyle w:val="TextBody"/>
        <w:bidi w:val="0"/>
        <w:spacing w:before="245" w:after="283"/>
        <w:jc w:val="center"/>
        <w:rPr>
          <w:rFonts w:ascii="Times New Roman" w:hAnsi="Times New Roman"/>
          <w:b/>
          <w:color w:val="000000"/>
          <w:sz w:val="24"/>
          <w:u w:val="single"/>
        </w:rPr>
      </w:pPr>
      <w:r>
        <w:rPr>
          <w:rFonts w:ascii="Times New Roman" w:hAnsi="Times New Roman"/>
          <w:b/>
          <w:color w:val="000000"/>
          <w:sz w:val="24"/>
          <w:u w:val="single"/>
        </w:rPr>
        <w:t>SECTION 1</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CONDITION OF EXPANSION PREMISES</w:t>
      </w:r>
    </w:p>
    <w:p>
      <w:pPr>
        <w:pStyle w:val="TextBody"/>
        <w:bidi w:val="0"/>
        <w:spacing w:before="116" w:after="283"/>
        <w:jc w:val="both"/>
        <w:rPr>
          <w:rFonts w:ascii="Times New Roman" w:hAnsi="Times New Roman"/>
          <w:sz w:val="20"/>
        </w:rPr>
      </w:pPr>
      <w:r>
        <w:rPr>
          <w:rFonts w:ascii="Times New Roman" w:hAnsi="Times New Roman"/>
          <w:color w:val="000000"/>
          <w:sz w:val="24"/>
        </w:rPr>
        <w:t xml:space="preserve">Tenant acknowledges that except as provided below, Tenant shall accept the Expansion Premises in their existing, "as-is" condition on the date of delivery thereof to Tenant. Except for the payment of the Tenant Improvement Allowance as provided in </w:t>
      </w:r>
      <w:r>
        <w:rPr>
          <w:rFonts w:ascii="Times New Roman" w:hAnsi="Times New Roman"/>
          <w:color w:val="000000"/>
          <w:sz w:val="24"/>
          <w:u w:val="single"/>
        </w:rPr>
        <w:t>Section 2</w:t>
      </w:r>
      <w:r>
        <w:rPr>
          <w:rFonts w:ascii="Times New Roman" w:hAnsi="Times New Roman"/>
          <w:color w:val="000000"/>
          <w:sz w:val="24"/>
        </w:rPr>
        <w:t>, below, Landlord shall have no obligation to make or pay for any improvements to the Expansion Premises. Notwithstanding anything set forth in this First Amendment to the contrary (but without limiting any other repair and maintenance obligations of Landlord that are expressly set forth in the Lease, as amended), upon the Expansion Commencement Date, Landlord shall cause (i) the Base Building to be in good working condition and repair, (ii) the Base Building and the Common Area to be compliant with Applicable Laws which were enacted and enforced as of the Lease Commencement Date to the extent necessary to obtain or maintain a certificate of occupancy (or its legal equivalent) for the Expansion Premises for general office use (collectively, the "</w:t>
      </w:r>
      <w:r>
        <w:rPr>
          <w:rFonts w:ascii="Times New Roman" w:hAnsi="Times New Roman"/>
          <w:b/>
          <w:color w:val="000000"/>
          <w:sz w:val="24"/>
        </w:rPr>
        <w:t>Delivery Conditions</w:t>
      </w:r>
      <w:r>
        <w:rPr>
          <w:rFonts w:ascii="Times New Roman" w:hAnsi="Times New Roman"/>
          <w:color w:val="000000"/>
          <w:sz w:val="24"/>
        </w:rPr>
        <w:t>"). Further, Landlord shall, at Landlord's sole cost and expense (which shall not be deemed an Operating Expense), make such repairs or replacements as necessary to satisfy the Delivery Conditions; provided that Tenant delivers written notice thereof to Landlord prior to the date that occurs thirty (30) days following Tenant's occupancy of the Expansion Premises for the Permitted Use; and provided further that any such repair, replacement or work was not caused by the misuse, misconduct, damage, destruction, omissions, and/or negligence (collectively, "</w:t>
      </w:r>
      <w:r>
        <w:rPr>
          <w:rFonts w:ascii="Times New Roman" w:hAnsi="Times New Roman"/>
          <w:b/>
          <w:color w:val="000000"/>
          <w:sz w:val="24"/>
        </w:rPr>
        <w:t>Tenant Damage</w:t>
      </w:r>
      <w:r>
        <w:rPr>
          <w:rFonts w:ascii="Times New Roman" w:hAnsi="Times New Roman"/>
          <w:color w:val="000000"/>
          <w:sz w:val="24"/>
        </w:rPr>
        <w:t xml:space="preserve">") of Tenant, its subtenants and/or assignees, if any, or any company which is acquired, sold or merged with Tenant, or by any modifications to the Tenant Improvements, Alterations, or other improvements constructed by or on behalf of Tenant. To the extent the Base Building is not in the Delivery Condition upon the Expansion Commencement Date as a result of Tenant Damage, then Tenant shall reimburse Landlord for an equitable proportion of the reasonable cost of such repair. If (1) it is determined that the Base Building was not in the Delivery Condition upon the Expansion Commencement Date, and (2) Tenant delivers written notice thereof to Landlord prior to the date that occurs thirty (30) days following Tenant's occupancy of the Expansion Premises for the Permitted Use, then Landlord shall not be liable to Tenant for any damages, but as Tenant's sole remedy (but without limiting Tenant's right to abate Base Rent, Tenant's Share of Direct Expenses and any parking charges in accordance with the terms and conditions of </w:t>
      </w:r>
      <w:r>
        <w:rPr>
          <w:rFonts w:ascii="Times New Roman" w:hAnsi="Times New Roman"/>
          <w:color w:val="000000"/>
          <w:sz w:val="24"/>
          <w:u w:val="single"/>
        </w:rPr>
        <w:t>Section 19.5.2</w:t>
      </w:r>
      <w:r>
        <w:rPr>
          <w:rFonts w:ascii="Times New Roman" w:hAnsi="Times New Roman"/>
          <w:color w:val="000000"/>
          <w:sz w:val="20"/>
        </w:rPr>
        <w:t xml:space="preserve"> </w:t>
      </w:r>
      <w:r>
        <w:rPr>
          <w:rFonts w:ascii="Times New Roman" w:hAnsi="Times New Roman"/>
          <w:color w:val="000000"/>
          <w:sz w:val="24"/>
        </w:rPr>
        <w:t xml:space="preserve">of the Lease), Landlord shall, at no cost to Tenant (and which shall not be included in Operating Expenses), subject to the terms and conditions of this </w:t>
      </w:r>
      <w:r>
        <w:rPr>
          <w:rFonts w:ascii="Times New Roman" w:hAnsi="Times New Roman"/>
          <w:color w:val="000000"/>
          <w:sz w:val="24"/>
          <w:u w:val="single"/>
        </w:rPr>
        <w:t>Section 1</w:t>
      </w:r>
      <w:r>
        <w:rPr>
          <w:rFonts w:ascii="Times New Roman" w:hAnsi="Times New Roman"/>
          <w:color w:val="000000"/>
          <w:sz w:val="20"/>
        </w:rPr>
        <w:t xml:space="preserve"> </w:t>
      </w:r>
      <w:r>
        <w:rPr>
          <w:rFonts w:ascii="Times New Roman" w:hAnsi="Times New Roman"/>
          <w:color w:val="000000"/>
          <w:sz w:val="24"/>
        </w:rPr>
        <w:t>above, promptly commence such work or take such other action as may be necessary to cause the Delivery Conditions to be satisfied, all to the extent not caused by Tenant Damage, and Landlord shall thereafter diligently pursue the same to completion.</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84" w:after="283"/>
        <w:jc w:val="center"/>
        <w:rPr>
          <w:rFonts w:ascii="Times New Roman" w:hAnsi="Times New Roman"/>
          <w:b/>
          <w:color w:val="000000"/>
          <w:sz w:val="24"/>
          <w:u w:val="single"/>
        </w:rPr>
      </w:pPr>
      <w:r>
        <w:rPr>
          <w:rFonts w:ascii="Times New Roman" w:hAnsi="Times New Roman"/>
          <w:b/>
          <w:color w:val="000000"/>
          <w:sz w:val="24"/>
          <w:u w:val="single"/>
        </w:rPr>
        <w:t>SECTION 2</w:t>
      </w:r>
    </w:p>
    <w:p>
      <w:pPr>
        <w:pStyle w:val="TextBody"/>
        <w:bidi w:val="0"/>
        <w:spacing w:before="1" w:after="283"/>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TENANT IMPROVEMENTS</w:t>
      </w:r>
    </w:p>
    <w:p>
      <w:pPr>
        <w:pStyle w:val="TextBody"/>
        <w:bidi w:val="0"/>
        <w:spacing w:before="115"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115" w:after="283"/>
        <w:jc w:val="both"/>
        <w:rPr/>
      </w:pPr>
      <w:r>
        <w:rPr>
          <w:rFonts w:ascii="Times New Roman" w:hAnsi="Times New Roman"/>
          <w:b/>
          <w:color w:val="000000"/>
          <w:sz w:val="24"/>
          <w:u w:val="single"/>
        </w:rPr>
        <w:t>Tenant Improvement Allowance</w:t>
      </w:r>
      <w:r>
        <w:rPr>
          <w:rFonts w:ascii="Times New Roman" w:hAnsi="Times New Roman"/>
          <w:color w:val="000000"/>
          <w:sz w:val="24"/>
        </w:rPr>
        <w:t>. Tenant shall be entitled to a one-time tenant improvement allowance (the "</w:t>
      </w:r>
      <w:r>
        <w:rPr>
          <w:rFonts w:ascii="Times New Roman" w:hAnsi="Times New Roman"/>
          <w:b/>
          <w:color w:val="000000"/>
          <w:sz w:val="24"/>
        </w:rPr>
        <w:t>Tenant Improvement Allowance</w:t>
      </w:r>
      <w:r>
        <w:rPr>
          <w:rFonts w:ascii="Times New Roman" w:hAnsi="Times New Roman"/>
          <w:color w:val="000000"/>
          <w:sz w:val="24"/>
        </w:rPr>
        <w:t xml:space="preserve">") in the amount of Three Hundred Thousand and No/100 Dollars ($300,000.00), for the costs relating to the initial design and construction of Tenant's improvements, which are permanently affixed to the Expansion Premises or which are "Tenant Improvement Allowance Items," as that term is defined in </w:t>
      </w:r>
      <w:r>
        <w:rPr>
          <w:rFonts w:ascii="Times New Roman" w:hAnsi="Times New Roman"/>
          <w:color w:val="000000"/>
          <w:sz w:val="24"/>
          <w:u w:val="single"/>
        </w:rPr>
        <w:t>Section 2.2.1</w:t>
      </w:r>
      <w:r>
        <w:rPr>
          <w:rFonts w:ascii="Times New Roman" w:hAnsi="Times New Roman"/>
          <w:color w:val="000000"/>
          <w:sz w:val="24"/>
        </w:rPr>
        <w:t>, below (collectively, the "</w:t>
      </w:r>
      <w:r>
        <w:rPr>
          <w:rFonts w:ascii="Times New Roman" w:hAnsi="Times New Roman"/>
          <w:b/>
          <w:color w:val="000000"/>
          <w:sz w:val="24"/>
        </w:rPr>
        <w:t>Tenant Improvements</w:t>
      </w:r>
      <w:r>
        <w:rPr>
          <w:rFonts w:ascii="Times New Roman" w:hAnsi="Times New Roman"/>
          <w:color w:val="000000"/>
          <w:sz w:val="24"/>
        </w:rPr>
        <w:t xml:space="preserve">"). In no event shall Landlord be obligated to make disbursements pursuant to this Tenant Work Letter or otherwise in connection with Tenant's construction of the Tenant Improvements or any Tenant Improvement Allowance Items, as defined below, in a total amount which exceeds the sum of the Tenant Improvement Allowance. All Tenant Improvements for which the Tenant Improvement Allowance has been made available shall be deemed Landlord's property under the terms of the Lease, as amended; provided, however, Landlord may, by written notice to Tenant given concurrently with Landlord's approval of the "Final Working Drawings", as that term is defined in </w:t>
      </w:r>
      <w:r>
        <w:rPr>
          <w:rFonts w:ascii="Times New Roman" w:hAnsi="Times New Roman"/>
          <w:color w:val="000000"/>
          <w:sz w:val="24"/>
          <w:u w:val="single"/>
        </w:rPr>
        <w:t>Section 3.3</w:t>
      </w:r>
      <w:r>
        <w:rPr>
          <w:rFonts w:ascii="Times New Roman" w:hAnsi="Times New Roman"/>
          <w:color w:val="000000"/>
          <w:sz w:val="24"/>
        </w:rPr>
        <w:t xml:space="preserve">, below, require Tenant, prior to the end of the Expansion Term, or given following any earlier termination of this Lease, as amended, at Tenant's expense, to remove any Tenant Improvements which are reasonably be deemed to be Specialty Alterations (as that term is defined in </w:t>
      </w:r>
      <w:r>
        <w:rPr>
          <w:rFonts w:ascii="Times New Roman" w:hAnsi="Times New Roman"/>
          <w:color w:val="000000"/>
          <w:sz w:val="24"/>
          <w:u w:val="single"/>
        </w:rPr>
        <w:t>Section 8.5</w:t>
      </w:r>
      <w:r>
        <w:rPr>
          <w:color w:val="000000"/>
        </w:rPr>
        <w:t xml:space="preserve"> </w:t>
      </w:r>
      <w:r>
        <w:rPr>
          <w:rFonts w:ascii="Times New Roman" w:hAnsi="Times New Roman"/>
          <w:color w:val="000000"/>
          <w:sz w:val="24"/>
        </w:rPr>
        <w:t>of the Lease) and to repair any damage to the Expansion Premises and Building caused by such removal and return the affected portion of the Expansion Premises to a Building standard general office condition. Any portion of the Tenant Improvement Allowance that is not disbursed or allocated for disbursement by the date which is twelve (12) months following the Expansion Commencement Date, shall revert to Landlord and Tenant shall have no further rights with respect thereto.</w:t>
      </w:r>
    </w:p>
    <w:p>
      <w:pPr>
        <w:pStyle w:val="TextBody"/>
        <w:bidi w:val="0"/>
        <w:spacing w:before="121"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121" w:after="283"/>
        <w:jc w:val="both"/>
        <w:rPr/>
      </w:pPr>
      <w:r>
        <w:rPr>
          <w:rFonts w:ascii="Times New Roman" w:hAnsi="Times New Roman"/>
          <w:b/>
          <w:color w:val="000000"/>
          <w:sz w:val="24"/>
          <w:u w:val="single"/>
        </w:rPr>
        <w:t>Disbursement of the Tenant Improvement Allowance</w:t>
      </w:r>
      <w:r>
        <w:rPr>
          <w:rFonts w:ascii="Times New Roman" w:hAnsi="Times New Roman"/>
          <w:color w:val="000000"/>
          <w:sz w:val="24"/>
        </w:rPr>
        <w:t>.</w:t>
      </w:r>
    </w:p>
    <w:p>
      <w:pPr>
        <w:pStyle w:val="TextBody"/>
        <w:bidi w:val="0"/>
        <w:spacing w:before="121" w:after="283"/>
        <w:jc w:val="both"/>
        <w:rPr>
          <w:rFonts w:ascii="Times New Roman" w:hAnsi="Times New Roman"/>
          <w:color w:val="000000"/>
          <w:sz w:val="24"/>
        </w:rPr>
      </w:pPr>
      <w:r>
        <w:rPr>
          <w:rFonts w:ascii="Times New Roman" w:hAnsi="Times New Roman"/>
          <w:color w:val="000000"/>
          <w:sz w:val="24"/>
        </w:rPr>
        <w:t>2.2.1</w:t>
      </w:r>
    </w:p>
    <w:p>
      <w:pPr>
        <w:pStyle w:val="TextBody"/>
        <w:bidi w:val="0"/>
        <w:spacing w:before="121" w:after="283"/>
        <w:jc w:val="both"/>
        <w:rPr/>
      </w:pPr>
      <w:r>
        <w:rPr>
          <w:rFonts w:ascii="Times New Roman" w:hAnsi="Times New Roman"/>
          <w:b/>
          <w:color w:val="000000"/>
          <w:sz w:val="24"/>
          <w:u w:val="single"/>
        </w:rPr>
        <w:t>Tenant Improvement Allowance Items</w:t>
      </w:r>
      <w:r>
        <w:rPr>
          <w:rFonts w:ascii="Times New Roman" w:hAnsi="Times New Roman"/>
          <w:color w:val="000000"/>
          <w:sz w:val="24"/>
        </w:rPr>
        <w:t>. Except as otherwise set forth in this Tenant Work Letter, the Tenant Improvement Allowance shall be disbursed by Landlord only for the following items and costs (collectively the "</w:t>
      </w:r>
      <w:r>
        <w:rPr>
          <w:rFonts w:ascii="Times New Roman" w:hAnsi="Times New Roman"/>
          <w:b/>
          <w:color w:val="000000"/>
          <w:sz w:val="24"/>
        </w:rPr>
        <w:t>Tenant Improvement Allowance Items</w:t>
      </w:r>
      <w:r>
        <w:rPr>
          <w:rFonts w:ascii="Times New Roman" w:hAnsi="Times New Roman"/>
          <w:color w:val="000000"/>
          <w:sz w:val="24"/>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2.2.1.1</w:t>
      </w:r>
    </w:p>
    <w:p>
      <w:pPr>
        <w:pStyle w:val="TextBody"/>
        <w:bidi w:val="0"/>
        <w:spacing w:before="120" w:after="283"/>
        <w:jc w:val="both"/>
        <w:rPr/>
      </w:pPr>
      <w:r>
        <w:rPr>
          <w:rFonts w:ascii="Times New Roman" w:hAnsi="Times New Roman"/>
          <w:color w:val="000000"/>
          <w:sz w:val="24"/>
        </w:rPr>
        <w:t xml:space="preserve">Payment of all reasonable fees of the "Architect" and the "Engineers," as those terms are defined in </w:t>
      </w:r>
      <w:r>
        <w:rPr>
          <w:rFonts w:ascii="Times New Roman" w:hAnsi="Times New Roman"/>
          <w:color w:val="000000"/>
          <w:sz w:val="24"/>
          <w:u w:val="single"/>
        </w:rPr>
        <w:t>Section 3.1</w:t>
      </w:r>
      <w:r>
        <w:rPr>
          <w:color w:val="000000"/>
        </w:rPr>
        <w:t xml:space="preserve"> </w:t>
      </w:r>
      <w:r>
        <w:rPr>
          <w:rFonts w:ascii="Times New Roman" w:hAnsi="Times New Roman"/>
          <w:color w:val="000000"/>
          <w:sz w:val="24"/>
        </w:rPr>
        <w:t xml:space="preserve">of this Tenant Work Letter, project management fees, and payment of the fees incurred by, and the cost of documents and materials supplied by, Landlord and Landlord's consultants in connection with the preparation and review of the "Construction Drawings," as that term is defined in </w:t>
      </w:r>
      <w:r>
        <w:rPr>
          <w:rFonts w:ascii="Times New Roman" w:hAnsi="Times New Roman"/>
          <w:color w:val="000000"/>
          <w:sz w:val="24"/>
          <w:u w:val="single"/>
        </w:rPr>
        <w:t>Section 3.2</w:t>
      </w:r>
      <w:r>
        <w:rPr>
          <w:color w:val="000000"/>
        </w:rPr>
        <w:t xml:space="preserve"> </w:t>
      </w:r>
      <w:r>
        <w:rPr>
          <w:rFonts w:ascii="Times New Roman" w:hAnsi="Times New Roman"/>
          <w:color w:val="000000"/>
          <w:sz w:val="24"/>
        </w:rPr>
        <w:t>of this Tenant Work Letter;</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2.2.1.2</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payment of plan check, permit and license fees relating to construction of the Tenant Improvements;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2.2.1.3</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payment for all demolition and removal of existing improvements in the Expansion Premises;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2.2.1.4</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The cost of construction of the Tenant Improvements, including, without limitation, testing and inspection costs, costs incurred for removal of existing furniture, fixtures or equipment in the Expansion Premises, hoisting and trash removal costs, costs to purchase and install in the Expansion Premises equipment customarily incorporated into laboratory improvements or laboratory utility systems, including, without limitation, UPS, DI </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120" w:after="283"/>
        <w:jc w:val="both"/>
        <w:rPr/>
      </w:pPr>
      <w:r>
        <w:rPr>
          <w:rFonts w:ascii="Times New Roman" w:hAnsi="Times New Roman"/>
          <w:color w:val="000000"/>
          <w:sz w:val="24"/>
        </w:rPr>
        <w:t>Systems, boilers, air compressors, glass/cage washers and autoclaves, painting, and contractors' fees and general conditions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2.2.1.5</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cost of any changes in the Base Building when such changes are required by the Construction Drawings (including if such changes are due to the fact that such work is prepared on an unoccupied basis), such cost to include all direct architectural and/or engineering fees and expenses incurred in connection therewith;</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2.2.1.6</w:t>
      </w:r>
    </w:p>
    <w:p>
      <w:pPr>
        <w:pStyle w:val="TextBody"/>
        <w:bidi w:val="0"/>
        <w:spacing w:before="120" w:after="283"/>
        <w:jc w:val="both"/>
        <w:rPr/>
      </w:pPr>
      <w:r>
        <w:rPr>
          <w:rFonts w:ascii="Times New Roman" w:hAnsi="Times New Roman"/>
          <w:color w:val="000000"/>
          <w:sz w:val="24"/>
        </w:rPr>
        <w:t>The cost of any changes to the Construction Drawings or Tenant Improvements required by all applicable building codes (the "</w:t>
      </w:r>
      <w:r>
        <w:rPr>
          <w:rFonts w:ascii="Times New Roman" w:hAnsi="Times New Roman"/>
          <w:b/>
          <w:color w:val="000000"/>
          <w:sz w:val="24"/>
        </w:rPr>
        <w:t>Code</w:t>
      </w:r>
      <w:r>
        <w:rPr>
          <w:rFonts w:ascii="Times New Roman" w:hAnsi="Times New Roman"/>
          <w:color w:val="000000"/>
          <w:sz w:val="24"/>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2.2.1.7</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Sales and use taxes;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2.2.1.8</w:t>
      </w:r>
    </w:p>
    <w:p>
      <w:pPr>
        <w:pStyle w:val="TextBody"/>
        <w:bidi w:val="0"/>
        <w:spacing w:before="120" w:after="283"/>
        <w:jc w:val="both"/>
        <w:rPr/>
      </w:pPr>
      <w:r>
        <w:rPr>
          <w:rFonts w:ascii="Times New Roman" w:hAnsi="Times New Roman"/>
          <w:color w:val="000000"/>
          <w:sz w:val="24"/>
        </w:rPr>
        <w:t xml:space="preserve">Subject to </w:t>
      </w:r>
      <w:r>
        <w:rPr>
          <w:rFonts w:ascii="Times New Roman" w:hAnsi="Times New Roman"/>
          <w:color w:val="000000"/>
          <w:sz w:val="24"/>
          <w:u w:val="single"/>
        </w:rPr>
        <w:t>Section 2.2</w:t>
      </w:r>
      <w:r>
        <w:rPr>
          <w:rFonts w:ascii="Times New Roman" w:hAnsi="Times New Roman"/>
          <w:color w:val="000000"/>
          <w:sz w:val="24"/>
        </w:rPr>
        <w:t xml:space="preserve">, above, all other actual out-of-pocket costs expended by Landlord in connection with the construction of the Tenant Improvements, including, without limitation, costs expended by Landlord pursuant to </w:t>
      </w:r>
      <w:r>
        <w:rPr>
          <w:rFonts w:ascii="Times New Roman" w:hAnsi="Times New Roman"/>
          <w:color w:val="000000"/>
          <w:sz w:val="24"/>
          <w:u w:val="single"/>
        </w:rPr>
        <w:t>Section 4.1.1</w:t>
      </w:r>
      <w:r>
        <w:rPr>
          <w:color w:val="000000"/>
        </w:rPr>
        <w:t xml:space="preserve"> </w:t>
      </w:r>
      <w:r>
        <w:rPr>
          <w:rFonts w:ascii="Times New Roman" w:hAnsi="Times New Roman"/>
          <w:color w:val="000000"/>
          <w:sz w:val="24"/>
        </w:rPr>
        <w:t>of this Tenant Work Letter, below.</w:t>
      </w:r>
    </w:p>
    <w:p>
      <w:pPr>
        <w:pStyle w:val="TextBody"/>
        <w:bidi w:val="0"/>
        <w:spacing w:before="121" w:after="283"/>
        <w:jc w:val="both"/>
        <w:rPr>
          <w:rFonts w:ascii="Times New Roman" w:hAnsi="Times New Roman"/>
          <w:color w:val="000000"/>
          <w:sz w:val="24"/>
        </w:rPr>
      </w:pPr>
      <w:r>
        <w:rPr>
          <w:rFonts w:ascii="Times New Roman" w:hAnsi="Times New Roman"/>
          <w:color w:val="000000"/>
          <w:sz w:val="24"/>
        </w:rPr>
        <w:t>2.2.2</w:t>
      </w:r>
    </w:p>
    <w:p>
      <w:pPr>
        <w:pStyle w:val="TextBody"/>
        <w:bidi w:val="0"/>
        <w:spacing w:before="121" w:after="283"/>
        <w:jc w:val="both"/>
        <w:rPr/>
      </w:pPr>
      <w:r>
        <w:rPr>
          <w:rFonts w:ascii="Times New Roman" w:hAnsi="Times New Roman"/>
          <w:b/>
          <w:color w:val="000000"/>
          <w:sz w:val="24"/>
          <w:u w:val="single"/>
        </w:rPr>
        <w:t>Disbursement of Tenant Improvement Allowance</w:t>
      </w:r>
      <w:r>
        <w:rPr>
          <w:rFonts w:ascii="Times New Roman" w:hAnsi="Times New Roman"/>
          <w:color w:val="000000"/>
          <w:sz w:val="24"/>
        </w:rPr>
        <w:t>. During the construction of the Tenant Improvements, Landlord shall make monthly disbursements of the Tenant Improvement Allowance for Tenant Improvement Allowance Items for the benefit of Tenant and shall authorize the release of monies for the benefit of Tenant as follows.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2.2.2.1</w:t>
      </w:r>
    </w:p>
    <w:p>
      <w:pPr>
        <w:pStyle w:val="TextBody"/>
        <w:bidi w:val="0"/>
        <w:spacing w:before="120" w:after="283"/>
        <w:jc w:val="both"/>
        <w:rPr/>
      </w:pPr>
      <w:r>
        <w:rPr>
          <w:rFonts w:ascii="Times New Roman" w:hAnsi="Times New Roman"/>
          <w:b/>
          <w:color w:val="000000"/>
          <w:sz w:val="24"/>
          <w:u w:val="single"/>
        </w:rPr>
        <w:t>Monthly Disbursements</w:t>
      </w:r>
      <w:r>
        <w:rPr>
          <w:rFonts w:ascii="Times New Roman" w:hAnsi="Times New Roman"/>
          <w:color w:val="000000"/>
          <w:sz w:val="24"/>
        </w:rPr>
        <w:t>. On or before the fifth (5</w:t>
      </w:r>
      <w:r>
        <w:rPr>
          <w:rFonts w:ascii="Times New Roman" w:hAnsi="Times New Roman"/>
          <w:color w:val="000000"/>
          <w:sz w:val="16"/>
        </w:rPr>
        <w:t>th</w:t>
      </w:r>
      <w:r>
        <w:rPr>
          <w:rFonts w:ascii="Times New Roman" w:hAnsi="Times New Roman"/>
          <w:color w:val="000000"/>
          <w:sz w:val="24"/>
        </w:rPr>
        <w:t xml:space="preserve">) day of each calendar month, during the design and construction of the Tenant Improvements (or such other date as Landlord may designate), Tenant shall deliver to Landlord: (i) a request for reimbursement of amounts paid to the "Contractor," as that term is defined in </w:t>
      </w:r>
      <w:r>
        <w:rPr>
          <w:rFonts w:ascii="Times New Roman" w:hAnsi="Times New Roman"/>
          <w:color w:val="000000"/>
          <w:sz w:val="24"/>
          <w:u w:val="single"/>
        </w:rPr>
        <w:t>Section 4.1.1</w:t>
      </w:r>
      <w:r>
        <w:rPr>
          <w:color w:val="000000"/>
        </w:rPr>
        <w:t xml:space="preserve"> </w:t>
      </w:r>
      <w:r>
        <w:rPr>
          <w:rFonts w:ascii="Times New Roman" w:hAnsi="Times New Roman"/>
          <w:color w:val="000000"/>
          <w:sz w:val="24"/>
        </w:rPr>
        <w:t>of this Tenant Work Letter, approved by Tenant, in a commercially reasonable form to be provided by Landlord, showing the schedule, by trade, of percentage of completion of the Tenant Improvements in the Expansion Premises, detailing the portion of the work completed and the portion not completed;</w:t>
      </w:r>
    </w:p>
    <w:p>
      <w:pPr>
        <w:pStyle w:val="TextBody"/>
        <w:bidi w:val="0"/>
        <w:jc w:val="both"/>
        <w:rPr>
          <w:rFonts w:ascii="Times New Roman" w:hAnsi="Times New Roman"/>
          <w:sz w:val="20"/>
        </w:rPr>
      </w:pPr>
      <w:r>
        <w:rPr>
          <w:rFonts w:ascii="Times New Roman" w:hAnsi="Times New Roman"/>
          <w:color w:val="000000"/>
          <w:sz w:val="24"/>
        </w:rPr>
        <w:t xml:space="preserve">(ii) invoices from all of "Tenant's Agents," as that term is defined in </w:t>
      </w:r>
      <w:r>
        <w:rPr>
          <w:rFonts w:ascii="Times New Roman" w:hAnsi="Times New Roman"/>
          <w:color w:val="000000"/>
          <w:sz w:val="24"/>
          <w:u w:val="single"/>
        </w:rPr>
        <w:t>Section 4.1.2</w:t>
      </w:r>
      <w:r>
        <w:rPr>
          <w:rFonts w:ascii="Times New Roman" w:hAnsi="Times New Roman"/>
          <w:color w:val="000000"/>
          <w:sz w:val="20"/>
        </w:rPr>
        <w:t xml:space="preserve"> </w:t>
      </w:r>
      <w:r>
        <w:rPr>
          <w:rFonts w:ascii="Times New Roman" w:hAnsi="Times New Roman"/>
          <w:color w:val="000000"/>
          <w:sz w:val="24"/>
        </w:rPr>
        <w:t>of this Tenant Work Letter, for labor rendered and materials for the Expansion Premises; (iii) executed mechanic's lien releases, as applicable, from all of Tenant's Agents which shall comply with the appropriate provisions, as reasonably determined by Landlord, of California Civil Code Sections 8132, 8134, 8136 and 8138 (provided that for sums that are the subject of the current disbursement request, conditional mechanic's lien releases shall be acceptable, provided that Tenant also submits unconditional mechanic's lien releases for all sums previously paid in connection with any and all prior disbursement requests); and (iv) all other information reasonably requested by Landlord. Tenant's request for payment shall be deemed Tenant's acceptance and approval of the work furnished and/or the materials supplied as set forth in Tenant's payment request. Within forty-five</w:t>
      </w:r>
    </w:p>
    <w:p>
      <w:pPr>
        <w:pStyle w:val="TextBody"/>
        <w:bidi w:val="0"/>
        <w:spacing w:before="1" w:after="283"/>
        <w:jc w:val="both"/>
        <w:rPr>
          <w:rFonts w:ascii="Times New Roman" w:hAnsi="Times New Roman"/>
          <w:sz w:val="20"/>
        </w:rPr>
      </w:pPr>
      <w:r>
        <w:rPr>
          <w:rFonts w:ascii="Times New Roman" w:hAnsi="Times New Roman"/>
          <w:color w:val="000000"/>
          <w:sz w:val="24"/>
        </w:rPr>
        <w:t xml:space="preserve">(45) days thereafter, Landlord shall deliver a check to Tenant made payable to Tenant in payment of the lesser of: (A) the amounts so requested by Tenant as set forth in this </w:t>
      </w:r>
      <w:r>
        <w:rPr>
          <w:rFonts w:ascii="Times New Roman" w:hAnsi="Times New Roman"/>
          <w:color w:val="000000"/>
          <w:sz w:val="24"/>
          <w:u w:val="single"/>
        </w:rPr>
        <w:t>Section 2.2.3.1</w:t>
      </w:r>
      <w:r>
        <w:rPr>
          <w:rFonts w:ascii="Times New Roman" w:hAnsi="Times New Roman"/>
          <w:color w:val="000000"/>
          <w:sz w:val="24"/>
        </w:rPr>
        <w:t xml:space="preserve">, above (or, subject to the terms of </w:t>
      </w:r>
      <w:r>
        <w:rPr>
          <w:rFonts w:ascii="Times New Roman" w:hAnsi="Times New Roman"/>
          <w:color w:val="000000"/>
          <w:sz w:val="24"/>
          <w:u w:val="single"/>
        </w:rPr>
        <w:t>Section 4.2.1</w:t>
      </w:r>
      <w:r>
        <w:rPr>
          <w:rFonts w:ascii="Times New Roman" w:hAnsi="Times New Roman"/>
          <w:color w:val="000000"/>
          <w:sz w:val="24"/>
        </w:rPr>
        <w:t xml:space="preserve">, below, a percentage thereof), and (B) the balance of any remaining available portion of the Tenant Improvement Allowance , provided that Landlord does not dispute any request for payment based on non-compliance of any work with the "Approved Working Drawings," as that term is defined in </w:t>
      </w:r>
      <w:r>
        <w:rPr>
          <w:rFonts w:ascii="Times New Roman" w:hAnsi="Times New Roman"/>
          <w:color w:val="000000"/>
          <w:sz w:val="24"/>
          <w:u w:val="single"/>
        </w:rPr>
        <w:t>Section 3.5</w:t>
      </w:r>
      <w:r>
        <w:rPr>
          <w:rFonts w:ascii="Times New Roman" w:hAnsi="Times New Roman"/>
          <w:color w:val="000000"/>
          <w:sz w:val="20"/>
        </w:rPr>
        <w:t xml:space="preserve"> </w:t>
      </w:r>
      <w:r>
        <w:rPr>
          <w:rFonts w:ascii="Times New Roman" w:hAnsi="Times New Roman"/>
          <w:color w:val="000000"/>
          <w:sz w:val="24"/>
        </w:rPr>
        <w:t>below, or due to any substandard work. Landlord's payment of such amounts shall not be deemed Landlord's approval or acceptance of the work furnished or materials supplied as set forth in Tenant's payment request.</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2.2.2.2</w:t>
      </w:r>
    </w:p>
    <w:p>
      <w:pPr>
        <w:pStyle w:val="TextBody"/>
        <w:bidi w:val="0"/>
        <w:spacing w:before="80" w:after="283"/>
        <w:jc w:val="both"/>
        <w:rPr/>
      </w:pPr>
      <w:r>
        <w:rPr>
          <w:rFonts w:ascii="Times New Roman" w:hAnsi="Times New Roman"/>
          <w:b/>
          <w:color w:val="000000"/>
          <w:sz w:val="24"/>
          <w:u w:val="single"/>
        </w:rPr>
        <w:t>Final Deliveries</w:t>
      </w:r>
      <w:r>
        <w:rPr>
          <w:rFonts w:ascii="Times New Roman" w:hAnsi="Times New Roman"/>
          <w:color w:val="000000"/>
          <w:sz w:val="24"/>
        </w:rPr>
        <w:t xml:space="preserve">. Following the completion of construction of </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80" w:after="283"/>
        <w:jc w:val="both"/>
        <w:rPr/>
      </w:pPr>
      <w:r>
        <w:rPr>
          <w:rFonts w:ascii="Times New Roman" w:hAnsi="Times New Roman"/>
          <w:color w:val="000000"/>
          <w:sz w:val="24"/>
        </w:rPr>
        <w:t xml:space="preserve">the Tenant Improvements, Tenant shall deliver to Landlord properly executed final mechanic's lien releases in compliance with both California Civil Code Section 8134 and either Section 8136 or Section 8138 from all of Tenant's Agents, and a certificate certifying that the construction of the Tenant Improvements in the Expansion Premises has been substantially completed. Tenant shall record a valid Notice of Completion in accordance with the requirements of </w:t>
      </w:r>
      <w:r>
        <w:rPr>
          <w:rFonts w:ascii="Times New Roman" w:hAnsi="Times New Roman"/>
          <w:color w:val="000000"/>
          <w:sz w:val="24"/>
          <w:u w:val="single"/>
        </w:rPr>
        <w:t>Section 4.3</w:t>
      </w:r>
      <w:r>
        <w:rPr>
          <w:color w:val="000000"/>
        </w:rPr>
        <w:t xml:space="preserve"> </w:t>
      </w:r>
      <w:r>
        <w:rPr>
          <w:rFonts w:ascii="Times New Roman" w:hAnsi="Times New Roman"/>
          <w:color w:val="000000"/>
          <w:sz w:val="24"/>
        </w:rPr>
        <w:t>of this Tenant Work Letter.</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2.2.2.3</w:t>
      </w:r>
    </w:p>
    <w:p>
      <w:pPr>
        <w:pStyle w:val="TextBody"/>
        <w:bidi w:val="0"/>
        <w:spacing w:before="120" w:after="283"/>
        <w:jc w:val="both"/>
        <w:rPr/>
      </w:pPr>
      <w:r>
        <w:rPr>
          <w:rFonts w:ascii="Times New Roman" w:hAnsi="Times New Roman"/>
          <w:b/>
          <w:color w:val="000000"/>
          <w:sz w:val="24"/>
          <w:u w:val="single"/>
        </w:rPr>
        <w:t>Other Terms</w:t>
      </w:r>
      <w:r>
        <w:rPr>
          <w:rFonts w:ascii="Times New Roman" w:hAnsi="Times New Roman"/>
          <w:color w:val="000000"/>
          <w:sz w:val="24"/>
        </w:rPr>
        <w:t>. Landlord shall only be obligated to make disbursements from the Tenant Improvement Allowance to the extent costs are incurred by Tenant for Tenant Improvement Allowance Items. All Tenant Improvement Allowance Items for which the Tenant Improvement Allowance have been made available shall be deemed Landlord's property under the terms of this Lease, as amended.</w:t>
      </w:r>
    </w:p>
    <w:p>
      <w:pPr>
        <w:pStyle w:val="TextBody"/>
        <w:bidi w:val="0"/>
        <w:spacing w:before="121" w:after="283"/>
        <w:jc w:val="both"/>
        <w:rPr>
          <w:rFonts w:ascii="Times New Roman" w:hAnsi="Times New Roman"/>
          <w:sz w:val="20"/>
        </w:rPr>
      </w:pPr>
      <w:r>
        <w:rPr>
          <w:rFonts w:ascii="Times New Roman" w:hAnsi="Times New Roman"/>
          <w:color w:val="000000"/>
          <w:sz w:val="24"/>
        </w:rPr>
        <w:t xml:space="preserve">2.4 </w:t>
      </w:r>
      <w:r>
        <w:rPr>
          <w:rFonts w:ascii="Times New Roman" w:hAnsi="Times New Roman"/>
          <w:b/>
          <w:color w:val="000000"/>
          <w:sz w:val="24"/>
          <w:u w:val="single"/>
        </w:rPr>
        <w:t>Building Standards</w:t>
      </w:r>
      <w:r>
        <w:rPr>
          <w:rFonts w:ascii="Times New Roman" w:hAnsi="Times New Roman"/>
          <w:color w:val="000000"/>
          <w:sz w:val="24"/>
        </w:rPr>
        <w:t>. The quality of Tenant Improvements shall be in keeping with the existing improvements in the Premises.</w:t>
      </w:r>
    </w:p>
    <w:p>
      <w:pPr>
        <w:pStyle w:val="TextBody"/>
        <w:bidi w:val="0"/>
        <w:spacing w:before="245" w:after="283"/>
        <w:jc w:val="center"/>
        <w:rPr>
          <w:rFonts w:ascii="Times New Roman" w:hAnsi="Times New Roman"/>
          <w:b/>
          <w:color w:val="000000"/>
          <w:sz w:val="24"/>
          <w:u w:val="single"/>
        </w:rPr>
      </w:pPr>
      <w:r>
        <w:rPr>
          <w:rFonts w:ascii="Times New Roman" w:hAnsi="Times New Roman"/>
          <w:b/>
          <w:color w:val="000000"/>
          <w:sz w:val="24"/>
          <w:u w:val="single"/>
        </w:rPr>
        <w:t>SECTION 3</w:t>
      </w:r>
    </w:p>
    <w:p>
      <w:pPr>
        <w:pStyle w:val="TextBody"/>
        <w:bidi w:val="0"/>
        <w:spacing w:before="276" w:after="283"/>
        <w:jc w:val="center"/>
        <w:rPr>
          <w:rFonts w:ascii="Times New Roman" w:hAnsi="Times New Roman"/>
          <w:b/>
          <w:color w:val="000000"/>
          <w:sz w:val="24"/>
          <w:u w:val="single"/>
        </w:rPr>
      </w:pPr>
      <w:r>
        <w:rPr>
          <w:rFonts w:ascii="Times New Roman" w:hAnsi="Times New Roman"/>
          <w:b/>
          <w:color w:val="000000"/>
          <w:sz w:val="24"/>
          <w:u w:val="single"/>
        </w:rPr>
        <w:t>CONSTRUCTION DRAWINGS</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35" w:after="283"/>
        <w:jc w:val="both"/>
        <w:rPr/>
      </w:pPr>
      <w:r>
        <w:rPr>
          <w:rFonts w:ascii="Times New Roman" w:hAnsi="Times New Roman"/>
          <w:b/>
          <w:color w:val="000000"/>
          <w:sz w:val="24"/>
          <w:u w:val="single"/>
        </w:rPr>
        <w:t>Selection of Architect</w:t>
      </w:r>
      <w:r>
        <w:rPr>
          <w:rFonts w:ascii="Times New Roman" w:hAnsi="Times New Roman"/>
          <w:color w:val="000000"/>
          <w:sz w:val="24"/>
        </w:rPr>
        <w:t>. Tenant shall retain an architect/space planner (the "</w:t>
      </w:r>
      <w:r>
        <w:rPr>
          <w:rFonts w:ascii="Times New Roman" w:hAnsi="Times New Roman"/>
          <w:b/>
          <w:color w:val="000000"/>
          <w:sz w:val="24"/>
        </w:rPr>
        <w:t>Architect</w:t>
      </w:r>
      <w:r>
        <w:rPr>
          <w:rFonts w:ascii="Times New Roman" w:hAnsi="Times New Roman"/>
          <w:color w:val="000000"/>
          <w:sz w:val="24"/>
        </w:rPr>
        <w:t xml:space="preserve">") approved in advance by Landlord (which approval shall not be unreasonably withheld, conditioned or delayed) to prepare the Final Space Plan and Final Working Drawings as provided in </w:t>
      </w:r>
      <w:r>
        <w:rPr>
          <w:rFonts w:ascii="Times New Roman" w:hAnsi="Times New Roman"/>
          <w:color w:val="000000"/>
          <w:sz w:val="24"/>
          <w:u w:val="single"/>
        </w:rPr>
        <w:t>Section 3.2</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3.3</w:t>
      </w:r>
      <w:r>
        <w:rPr>
          <w:rFonts w:ascii="Times New Roman" w:hAnsi="Times New Roman"/>
          <w:color w:val="000000"/>
          <w:sz w:val="24"/>
        </w:rPr>
        <w:t>, below. Tenant shall retain the engineering consultants or design/build subcontractors designated by Tenant and reasonably approved in advance by Landlord (the "</w:t>
      </w:r>
      <w:r>
        <w:rPr>
          <w:rFonts w:ascii="Times New Roman" w:hAnsi="Times New Roman"/>
          <w:b/>
          <w:color w:val="000000"/>
          <w:sz w:val="24"/>
        </w:rPr>
        <w:t>Engineers</w:t>
      </w:r>
      <w:r>
        <w:rPr>
          <w:rFonts w:ascii="Times New Roman" w:hAnsi="Times New Roman"/>
          <w:color w:val="000000"/>
          <w:sz w:val="24"/>
        </w:rPr>
        <w:t xml:space="preserve">") to prepare all plans and engineering working drawings relating to the structural, mechanical, electrical, plumbing, HVAC, lifesafety, and sprinkler work in the Expansion Premises, which work is not part of the Base Building. All such plans and drawings shall comply with the drawing format and specifications reasonably determined by Landlord, and shall be subject to Landlord's reasonable approval. Tenant and Architect shall verify, in the field, the dimensions and conditions as shown on the relevant portions of the Base Building plans, and Tenant and Architect shall be solely responsible for the same, and Landlord shall have no responsibility in connection therewith. Landlord's review of any plans or drawings as set forth in this </w:t>
      </w:r>
      <w:r>
        <w:rPr>
          <w:rFonts w:ascii="Times New Roman" w:hAnsi="Times New Roman"/>
          <w:color w:val="000000"/>
          <w:sz w:val="24"/>
          <w:u w:val="single"/>
        </w:rPr>
        <w:t>Section 3</w:t>
      </w:r>
      <w:r>
        <w:rPr>
          <w:rFonts w:ascii="Times New Roman" w:hAnsi="Times New Roman"/>
          <w:color w:val="000000"/>
          <w:sz w:val="24"/>
        </w:rPr>
        <w:t>, shall be for its sole purpose and shall not imply Landlord's review of the same, or obligate Landlord to review the same, for quality, design, Code compliance or other like matters.</w:t>
      </w:r>
    </w:p>
    <w:p>
      <w:pPr>
        <w:pStyle w:val="TextBody"/>
        <w:bidi w:val="0"/>
        <w:spacing w:before="121"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121" w:after="283"/>
        <w:jc w:val="both"/>
        <w:rPr/>
      </w:pPr>
      <w:r>
        <w:rPr>
          <w:rFonts w:ascii="Times New Roman" w:hAnsi="Times New Roman"/>
          <w:b/>
          <w:color w:val="000000"/>
          <w:sz w:val="24"/>
          <w:u w:val="single"/>
        </w:rPr>
        <w:t>Final Space Plan</w:t>
      </w:r>
      <w:r>
        <w:rPr>
          <w:rFonts w:ascii="Times New Roman" w:hAnsi="Times New Roman"/>
          <w:color w:val="000000"/>
          <w:sz w:val="24"/>
        </w:rPr>
        <w:t>. Tenant shall supply Landlord with four (4) copies signed by Tenant of its final space plan for the Expansion Premises before any architectural working drawings or engineering drawings have been commenced. The final space plan (the "</w:t>
      </w:r>
      <w:r>
        <w:rPr>
          <w:rFonts w:ascii="Times New Roman" w:hAnsi="Times New Roman"/>
          <w:b/>
          <w:color w:val="000000"/>
          <w:sz w:val="24"/>
        </w:rPr>
        <w:t>Final Space Plan</w:t>
      </w:r>
      <w:r>
        <w:rPr>
          <w:rFonts w:ascii="Times New Roman" w:hAnsi="Times New Roman"/>
          <w:color w:val="000000"/>
          <w:sz w:val="24"/>
        </w:rPr>
        <w:t>") shall include a layout and designation of all offices, labs, rooms and other partitioning, their intended use, and equipment to be contained therein. Landlord may request clarification or more specific drawings for special use items not included in the Final Space Plan. Landlord shall advise Tenant within five (5) business days after Landlord's receipt of the Final Space Plan for the Expansion Premises if the same is unsatisfactory or incomplete in any respect. If Tenant is so advised, Tenant shall promptly cause the Final Space Plan to be revised to correct any deficiencies or other matters Landlord may reasonably require. If Landlord fails to approve or disapprove the Final Space Plan within such five (5) business day period, then Tenant may send Landlord a</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80" w:after="283"/>
        <w:jc w:val="both"/>
        <w:rPr>
          <w:rFonts w:ascii="Times New Roman" w:hAnsi="Times New Roman"/>
          <w:sz w:val="20"/>
        </w:rPr>
      </w:pPr>
      <w:r>
        <w:rPr>
          <w:rFonts w:ascii="Times New Roman" w:hAnsi="Times New Roman"/>
          <w:color w:val="000000"/>
          <w:sz w:val="24"/>
        </w:rPr>
        <w:t>reminder notice setting forth such failure (which reminder notice shall include a copy of such Final Space Plan) and containing the following sentence at the top of such notice in bold, capitalized font at least twelve (12) points in size: "</w:t>
      </w:r>
      <w:r>
        <w:rPr>
          <w:rFonts w:ascii="Times New Roman" w:hAnsi="Times New Roman"/>
          <w:b/>
          <w:color w:val="000000"/>
          <w:sz w:val="24"/>
        </w:rPr>
        <w:t>LANDLORD'S FAILURE TO RESPOND TO THIS NOTICE WITHIN FIVE (5) BUSINESS DAYS SHALL RESULT IN LANDLORD'S</w:t>
      </w:r>
    </w:p>
    <w:p>
      <w:pPr>
        <w:pStyle w:val="TextBody"/>
        <w:bidi w:val="0"/>
        <w:jc w:val="both"/>
        <w:rPr>
          <w:rFonts w:ascii="Times New Roman" w:hAnsi="Times New Roman"/>
          <w:sz w:val="20"/>
        </w:rPr>
      </w:pPr>
      <w:r>
        <w:rPr>
          <w:rFonts w:ascii="Times New Roman" w:hAnsi="Times New Roman"/>
          <w:b/>
          <w:color w:val="000000"/>
          <w:sz w:val="24"/>
        </w:rPr>
        <w:t>DEEMED APPROVAL OF THE FINAL SPACE PLAN</w:t>
      </w:r>
      <w:r>
        <w:rPr>
          <w:rFonts w:ascii="Times New Roman" w:hAnsi="Times New Roman"/>
          <w:color w:val="000000"/>
          <w:sz w:val="24"/>
        </w:rPr>
        <w:t>" (the "</w:t>
      </w:r>
      <w:r>
        <w:rPr>
          <w:rFonts w:ascii="Times New Roman" w:hAnsi="Times New Roman"/>
          <w:b/>
          <w:color w:val="000000"/>
          <w:sz w:val="24"/>
        </w:rPr>
        <w:t>Final Space Plan Reminder Notice</w:t>
      </w:r>
      <w:r>
        <w:rPr>
          <w:rFonts w:ascii="Times New Roman" w:hAnsi="Times New Roman"/>
          <w:color w:val="000000"/>
          <w:sz w:val="24"/>
        </w:rPr>
        <w:t>"). If Landlord fails to respond with its approval or disapproval within five (5) business days after its receipt of the Final Space Plan Reminder Notice, then the Final Space Plan shall be deemed approved by Landlord.</w:t>
      </w:r>
    </w:p>
    <w:p>
      <w:pPr>
        <w:pStyle w:val="TextBody"/>
        <w:bidi w:val="0"/>
        <w:spacing w:before="109"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109" w:after="283"/>
        <w:jc w:val="both"/>
        <w:rPr/>
      </w:pPr>
      <w:r>
        <w:rPr>
          <w:rFonts w:ascii="Times New Roman" w:hAnsi="Times New Roman"/>
          <w:b/>
          <w:color w:val="000000"/>
          <w:sz w:val="24"/>
          <w:u w:val="single"/>
        </w:rPr>
        <w:t>Final Working Drawings</w:t>
      </w:r>
      <w:r>
        <w:rPr>
          <w:rFonts w:ascii="Times New Roman" w:hAnsi="Times New Roman"/>
          <w:color w:val="000000"/>
          <w:sz w:val="24"/>
        </w:rPr>
        <w:t>. After the Final Space Plan has been approved by Landlord, Tenant shall supply the Engineers with a complete listing of standard and non-standard equipment and specifications, including, without limitation, Title 24 calculations, electrical requirements and special electrical receptacle requirements for the Expansion Premises, to enable the Engineers and the Architect to complete the "Final Working Drawings" (as that term is defined below) in the manner as set forth below. Upon the approval of the Final Space Plan by Landlord and Tenant, Tenant shall promptly cause the Architect and the Engineers to complete the architectural and engineering drawings for the Expansion Premises, and Architect shall compile a fully coordinated set of architectural, structural, mechanical, electrical and plumbing working drawings in a form which is sufficiently complete to allow all of Tenant's Agents to bid on the work and to obtain all applicable permits (collectively, the "</w:t>
      </w:r>
      <w:r>
        <w:rPr>
          <w:rFonts w:ascii="Times New Roman" w:hAnsi="Times New Roman"/>
          <w:b/>
          <w:color w:val="000000"/>
          <w:sz w:val="24"/>
        </w:rPr>
        <w:t>Final Working Drawings</w:t>
      </w:r>
      <w:r>
        <w:rPr>
          <w:rFonts w:ascii="Times New Roman" w:hAnsi="Times New Roman"/>
          <w:color w:val="000000"/>
          <w:sz w:val="24"/>
        </w:rPr>
        <w:t>") and shall submit the same to Landlord for Landlord's approval, which shall not be unreasonably withheld, conditioned, or delayed. Tenant shall supply Landlord with four (4) copies signed by Tenant of such Final Working Drawings. Landlord shall advise Tenant within ten (10) business days after Landlord's receipt of the Final Working Drawings for the Expansion Premises if the same is unsatisfactory or incomplete in any respect. If Tenant is so advised, Tenant shall promptly cause the Final Working Drawings to be revised in accordance with such review and any disapproval of Landlord in connection therewith. If Landlord fails to approve or disapprove the Final Working Drawings within such ten (10) business day period, then Tenant may send Landlord a reminder notice setting forth such failure (which reminder notice shall include a copy of such Final Working Drawings) and containing the following sentence at the top of such notice in bold, capitalized font at least twelve (12) points in size: "</w:t>
      </w:r>
      <w:r>
        <w:rPr>
          <w:rFonts w:ascii="Times New Roman" w:hAnsi="Times New Roman"/>
          <w:b/>
          <w:color w:val="000000"/>
          <w:sz w:val="24"/>
        </w:rPr>
        <w:t>LANDLORD'S FAILURE TO RESPOND TO THIS NOTICE WITHIN FIVE (5) BUSINESS DAYS SHALL RESULT IN LANDLORD'S DEEMED APPROVAL OF THE FINAL WORKING DRAWINGS</w:t>
      </w:r>
      <w:r>
        <w:rPr>
          <w:rFonts w:ascii="Times New Roman" w:hAnsi="Times New Roman"/>
          <w:color w:val="000000"/>
          <w:sz w:val="24"/>
        </w:rPr>
        <w:t>" (the "</w:t>
      </w:r>
      <w:r>
        <w:rPr>
          <w:rFonts w:ascii="Times New Roman" w:hAnsi="Times New Roman"/>
          <w:b/>
          <w:color w:val="000000"/>
          <w:sz w:val="24"/>
        </w:rPr>
        <w:t>Final Working</w:t>
      </w:r>
    </w:p>
    <w:p>
      <w:pPr>
        <w:pStyle w:val="TextBody"/>
        <w:bidi w:val="0"/>
        <w:spacing w:before="2" w:after="283"/>
        <w:jc w:val="both"/>
        <w:rPr>
          <w:rFonts w:ascii="Times New Roman" w:hAnsi="Times New Roman"/>
          <w:sz w:val="20"/>
        </w:rPr>
      </w:pPr>
      <w:r>
        <w:rPr>
          <w:rFonts w:ascii="Times New Roman" w:hAnsi="Times New Roman"/>
          <w:b/>
          <w:color w:val="000000"/>
          <w:sz w:val="24"/>
        </w:rPr>
        <w:t>Drawings Reminder Notice</w:t>
      </w:r>
      <w:r>
        <w:rPr>
          <w:rFonts w:ascii="Times New Roman" w:hAnsi="Times New Roman"/>
          <w:color w:val="000000"/>
          <w:sz w:val="24"/>
        </w:rPr>
        <w:t>"). If Landlord fails to respond with its approval or disapproval within five (5) business days after its receipt of the Final Working Drawings Reminder Notice, then the Final Working Drawings shall be deemed approved by Landlord.</w:t>
      </w:r>
    </w:p>
    <w:p>
      <w:pPr>
        <w:pStyle w:val="TextBody"/>
        <w:bidi w:val="0"/>
        <w:spacing w:before="120" w:after="283"/>
        <w:jc w:val="both"/>
        <w:rPr>
          <w:rFonts w:ascii="Times New Roman" w:hAnsi="Times New Roman"/>
          <w:sz w:val="20"/>
        </w:rPr>
      </w:pPr>
      <w:r>
        <w:rPr>
          <w:rFonts w:ascii="Times New Roman" w:hAnsi="Times New Roman"/>
          <w:color w:val="000000"/>
          <w:sz w:val="24"/>
        </w:rPr>
        <w:t xml:space="preserve">3.5 </w:t>
      </w:r>
      <w:r>
        <w:rPr>
          <w:rFonts w:ascii="Times New Roman" w:hAnsi="Times New Roman"/>
          <w:b/>
          <w:color w:val="000000"/>
          <w:sz w:val="24"/>
          <w:u w:val="single"/>
        </w:rPr>
        <w:t>Approved Working Drawings</w:t>
      </w:r>
      <w:r>
        <w:rPr>
          <w:rFonts w:ascii="Times New Roman" w:hAnsi="Times New Roman"/>
          <w:color w:val="000000"/>
          <w:sz w:val="24"/>
        </w:rPr>
        <w:t>. The Final Working Drawings shall be approved by Landlord (the "</w:t>
      </w:r>
      <w:r>
        <w:rPr>
          <w:rFonts w:ascii="Times New Roman" w:hAnsi="Times New Roman"/>
          <w:b/>
          <w:color w:val="000000"/>
          <w:sz w:val="24"/>
        </w:rPr>
        <w:t>Approved Working Drawings</w:t>
      </w:r>
      <w:r>
        <w:rPr>
          <w:rFonts w:ascii="Times New Roman" w:hAnsi="Times New Roman"/>
          <w:color w:val="000000"/>
          <w:sz w:val="24"/>
        </w:rPr>
        <w:t>") prior to the commencement of construction of the Expansion Premises by Tenant. Concurrently with Tenant's delivery of the Final Working Drawings to Landlord for Landlord's approval, Tenant may submit the same to the appropriate municipal authorities for all applicable building permits. Tenant hereby agrees that neither Landlord nor Landlord's consultants shall be responsible for obtaining any building permit or certificate of occupancy for the Expansion Premises and that obtaining the same shall be Tenant's responsibility; provided, however, that Landlord shall cooperate with Tenant in executing permit applications and performing other ministerial acts reasonably necessary to enable Tenant to obtain any such permit or certificate of occupancy. No changes, modifications or alterations in the</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80" w:after="283"/>
        <w:jc w:val="left"/>
        <w:rPr>
          <w:rFonts w:ascii="Times New Roman" w:hAnsi="Times New Roman"/>
          <w:color w:val="000000"/>
          <w:sz w:val="24"/>
        </w:rPr>
      </w:pPr>
      <w:r>
        <w:rPr>
          <w:rFonts w:ascii="Times New Roman" w:hAnsi="Times New Roman"/>
          <w:color w:val="000000"/>
          <w:sz w:val="24"/>
        </w:rPr>
        <w:t>Approved Working Drawings may be made without the prior written consent of Landlord, which shall not be unreasonably withheld, conditioned, or delayed.</w:t>
      </w:r>
    </w:p>
    <w:p>
      <w:pPr>
        <w:pStyle w:val="TextBody"/>
        <w:bidi w:val="0"/>
        <w:spacing w:before="245" w:after="283"/>
        <w:jc w:val="center"/>
        <w:rPr>
          <w:rFonts w:ascii="Times New Roman" w:hAnsi="Times New Roman"/>
          <w:b/>
          <w:color w:val="000000"/>
          <w:sz w:val="24"/>
          <w:u w:val="single"/>
        </w:rPr>
      </w:pPr>
      <w:r>
        <w:rPr>
          <w:rFonts w:ascii="Times New Roman" w:hAnsi="Times New Roman"/>
          <w:b/>
          <w:color w:val="000000"/>
          <w:sz w:val="24"/>
          <w:u w:val="single"/>
        </w:rPr>
        <w:t>SECTION 4</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CONSTRUCTION OF THE TENANT IMPROVEMENTS</w:t>
      </w:r>
    </w:p>
    <w:p>
      <w:pPr>
        <w:pStyle w:val="TextBody"/>
        <w:bidi w:val="0"/>
        <w:spacing w:before="115" w:after="283"/>
        <w:jc w:val="both"/>
        <w:rPr>
          <w:rFonts w:ascii="Times New Roman" w:hAnsi="Times New Roman"/>
          <w:color w:val="000000"/>
          <w:sz w:val="24"/>
        </w:rPr>
      </w:pPr>
      <w:r>
        <w:rPr>
          <w:rFonts w:ascii="Times New Roman" w:hAnsi="Times New Roman"/>
          <w:color w:val="000000"/>
          <w:sz w:val="24"/>
        </w:rPr>
        <w:t>4.1</w:t>
      </w:r>
    </w:p>
    <w:p>
      <w:pPr>
        <w:pStyle w:val="TextBody"/>
        <w:bidi w:val="0"/>
        <w:spacing w:before="115" w:after="283"/>
        <w:jc w:val="both"/>
        <w:rPr/>
      </w:pPr>
      <w:r>
        <w:rPr>
          <w:rFonts w:ascii="Times New Roman" w:hAnsi="Times New Roman"/>
          <w:b/>
          <w:color w:val="000000"/>
          <w:sz w:val="24"/>
          <w:u w:val="single"/>
        </w:rPr>
        <w:t>Tenant's Selection of Contractors</w:t>
      </w:r>
      <w:r>
        <w:rPr>
          <w:rFonts w:ascii="Times New Roman" w:hAnsi="Times New Roman"/>
          <w:color w:val="000000"/>
          <w:sz w:val="24"/>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4.1.1</w:t>
      </w:r>
    </w:p>
    <w:p>
      <w:pPr>
        <w:pStyle w:val="TextBody"/>
        <w:bidi w:val="0"/>
        <w:spacing w:before="120" w:after="283"/>
        <w:jc w:val="both"/>
        <w:rPr/>
      </w:pPr>
      <w:r>
        <w:rPr>
          <w:rFonts w:ascii="Times New Roman" w:hAnsi="Times New Roman"/>
          <w:b/>
          <w:color w:val="000000"/>
          <w:sz w:val="24"/>
          <w:u w:val="single"/>
        </w:rPr>
        <w:t>The Contractor; Landlord's Project Manager</w:t>
      </w:r>
      <w:r>
        <w:rPr>
          <w:rFonts w:ascii="Times New Roman" w:hAnsi="Times New Roman"/>
          <w:color w:val="000000"/>
          <w:sz w:val="24"/>
        </w:rPr>
        <w:t>. Tenant shall retain a licensed general contractor, approved in advance by Landlord, to construct the Tenant Improvements ("</w:t>
      </w:r>
      <w:r>
        <w:rPr>
          <w:rFonts w:ascii="Times New Roman" w:hAnsi="Times New Roman"/>
          <w:b/>
          <w:color w:val="000000"/>
          <w:sz w:val="24"/>
        </w:rPr>
        <w:t>Contractor</w:t>
      </w:r>
      <w:r>
        <w:rPr>
          <w:rFonts w:ascii="Times New Roman" w:hAnsi="Times New Roman"/>
          <w:color w:val="000000"/>
          <w:sz w:val="24"/>
        </w:rPr>
        <w:t>"). Landlord's approval of the Contractor shall not be unreasonably withheld, conditioned or delayed. Landlord shall retain Project Management Advisors, Inc. ("</w:t>
      </w:r>
      <w:r>
        <w:rPr>
          <w:rFonts w:ascii="Times New Roman" w:hAnsi="Times New Roman"/>
          <w:b/>
          <w:color w:val="000000"/>
          <w:sz w:val="24"/>
        </w:rPr>
        <w:t>PMA</w:t>
      </w:r>
      <w:r>
        <w:rPr>
          <w:rFonts w:ascii="Times New Roman" w:hAnsi="Times New Roman"/>
          <w:color w:val="000000"/>
          <w:sz w:val="24"/>
        </w:rPr>
        <w:t>") as a third party project manager for construction oversight of the Tenant Improvements on behalf of Landlord, and Tenant shall pay a fee to Landlord with respect to the PMA services equal to 2.65% of the total project cost for the design, permitting and construction of the Tenant Improvements.</w:t>
      </w:r>
    </w:p>
    <w:p>
      <w:pPr>
        <w:pStyle w:val="TextBody"/>
        <w:bidi w:val="0"/>
        <w:spacing w:before="121" w:after="283"/>
        <w:jc w:val="both"/>
        <w:rPr>
          <w:rFonts w:ascii="Times New Roman" w:hAnsi="Times New Roman"/>
          <w:color w:val="000000"/>
          <w:sz w:val="24"/>
        </w:rPr>
      </w:pPr>
      <w:r>
        <w:rPr>
          <w:rFonts w:ascii="Times New Roman" w:hAnsi="Times New Roman"/>
          <w:color w:val="000000"/>
          <w:sz w:val="24"/>
        </w:rPr>
        <w:t>4.1.2</w:t>
      </w:r>
    </w:p>
    <w:p>
      <w:pPr>
        <w:pStyle w:val="TextBody"/>
        <w:bidi w:val="0"/>
        <w:spacing w:before="121" w:after="283"/>
        <w:jc w:val="both"/>
        <w:rPr/>
      </w:pPr>
      <w:r>
        <w:rPr>
          <w:rFonts w:ascii="Times New Roman" w:hAnsi="Times New Roman"/>
          <w:b/>
          <w:color w:val="000000"/>
          <w:sz w:val="24"/>
          <w:u w:val="single"/>
        </w:rPr>
        <w:t>Tenant's Agents</w:t>
      </w:r>
      <w:r>
        <w:rPr>
          <w:rFonts w:ascii="Times New Roman" w:hAnsi="Times New Roman"/>
          <w:color w:val="000000"/>
          <w:sz w:val="24"/>
        </w:rPr>
        <w:t>. All subcontractors, laborers, materialmen, and suppliers used by Tenant (such subcontractors, laborers, materialmen, and suppliers, and the Contractor to be known collectively as "</w:t>
      </w:r>
      <w:r>
        <w:rPr>
          <w:rFonts w:ascii="Times New Roman" w:hAnsi="Times New Roman"/>
          <w:b/>
          <w:color w:val="000000"/>
          <w:sz w:val="24"/>
        </w:rPr>
        <w:t>Tenant's Agents</w:t>
      </w:r>
      <w:r>
        <w:rPr>
          <w:rFonts w:ascii="Times New Roman" w:hAnsi="Times New Roman"/>
          <w:color w:val="000000"/>
          <w:sz w:val="24"/>
        </w:rPr>
        <w:t>") must be approved in writing by Landlord, which approval shall not be unreasonably withheld, conditioned, or delayed, and which shall be granted or denied within five (5) days of Landlord's receipt of Tenant's request for approval; provided, however, Landlord may nevertheless designate and require the use of particular mechanical, engineering, plumbing, fire life-safety and other Base Building subcontractors. If Landlord does not approve any of Tenant's proposed subcontractors, laborers, materialmen, or suppliers, Tenant shall submit other proposed subcontractors, laborers, materialmen, and suppliers for Landlord's written approval. If Landlord fails to approve or disapprove the Tenant's Agents within such five</w:t>
      </w:r>
    </w:p>
    <w:p>
      <w:pPr>
        <w:pStyle w:val="TextBody"/>
        <w:bidi w:val="0"/>
        <w:jc w:val="both"/>
        <w:rPr>
          <w:rFonts w:ascii="Times New Roman" w:hAnsi="Times New Roman"/>
          <w:sz w:val="20"/>
        </w:rPr>
      </w:pPr>
      <w:r>
        <w:rPr>
          <w:rFonts w:ascii="Times New Roman" w:hAnsi="Times New Roman"/>
          <w:color w:val="000000"/>
          <w:sz w:val="24"/>
        </w:rPr>
        <w:t>(5) business day period, then Tenant may send Landlord a reminder notice setting forth such failure and containing the following sentence at the top of such notice in bold, capitalized font at least twelve (12) points in size: "</w:t>
      </w:r>
      <w:r>
        <w:rPr>
          <w:rFonts w:ascii="Times New Roman" w:hAnsi="Times New Roman"/>
          <w:b/>
          <w:color w:val="000000"/>
          <w:sz w:val="24"/>
        </w:rPr>
        <w:t>LANDLORD'S FAILURE TO RESPOND TO THIS NOTICE WITHIN TWO (2) BUSINESS DAYS SHALL RESULT IN LANDLORD'S DEEMED</w:t>
      </w:r>
    </w:p>
    <w:p>
      <w:pPr>
        <w:pStyle w:val="TextBody"/>
        <w:bidi w:val="0"/>
        <w:jc w:val="both"/>
        <w:rPr>
          <w:rFonts w:ascii="Times New Roman" w:hAnsi="Times New Roman"/>
          <w:sz w:val="20"/>
        </w:rPr>
      </w:pPr>
      <w:r>
        <w:rPr>
          <w:rFonts w:ascii="Times New Roman" w:hAnsi="Times New Roman"/>
          <w:b/>
          <w:color w:val="000000"/>
          <w:sz w:val="24"/>
        </w:rPr>
        <w:t>APPROVAL OF THE TENANT'S AGENTS</w:t>
      </w:r>
      <w:r>
        <w:rPr>
          <w:rFonts w:ascii="Times New Roman" w:hAnsi="Times New Roman"/>
          <w:color w:val="000000"/>
          <w:sz w:val="24"/>
        </w:rPr>
        <w:t>" (the "</w:t>
      </w:r>
      <w:r>
        <w:rPr>
          <w:rFonts w:ascii="Times New Roman" w:hAnsi="Times New Roman"/>
          <w:b/>
          <w:color w:val="000000"/>
          <w:sz w:val="24"/>
        </w:rPr>
        <w:t>Tenant's Agents Reminder Notice</w:t>
      </w:r>
      <w:r>
        <w:rPr>
          <w:rFonts w:ascii="Times New Roman" w:hAnsi="Times New Roman"/>
          <w:color w:val="000000"/>
          <w:sz w:val="24"/>
        </w:rPr>
        <w:t>"). If Landlord fails to respond with its approval or disapproval within two (2) business days after its receipt of the Tenant's Agents Reminder Notice, then the Tenant's Agents selected by Tenant shall be deemed approved by Landlord.</w:t>
      </w:r>
    </w:p>
    <w:p>
      <w:pPr>
        <w:pStyle w:val="TextBody"/>
        <w:bidi w:val="0"/>
        <w:spacing w:before="110" w:after="283"/>
        <w:jc w:val="both"/>
        <w:rPr>
          <w:rFonts w:ascii="Times New Roman" w:hAnsi="Times New Roman"/>
          <w:color w:val="000000"/>
          <w:sz w:val="24"/>
        </w:rPr>
      </w:pPr>
      <w:r>
        <w:rPr>
          <w:rFonts w:ascii="Times New Roman" w:hAnsi="Times New Roman"/>
          <w:color w:val="000000"/>
          <w:sz w:val="24"/>
        </w:rPr>
        <w:t>4.2</w:t>
      </w:r>
    </w:p>
    <w:p>
      <w:pPr>
        <w:pStyle w:val="TextBody"/>
        <w:bidi w:val="0"/>
        <w:spacing w:before="110" w:after="283"/>
        <w:jc w:val="both"/>
        <w:rPr/>
      </w:pPr>
      <w:r>
        <w:rPr>
          <w:rFonts w:ascii="Times New Roman" w:hAnsi="Times New Roman"/>
          <w:b/>
          <w:color w:val="000000"/>
          <w:sz w:val="24"/>
          <w:u w:val="single"/>
        </w:rPr>
        <w:t>Construction of Tenant Improvements by Tenant's Agents</w:t>
      </w:r>
      <w:r>
        <w:rPr>
          <w:rFonts w:ascii="Times New Roman" w:hAnsi="Times New Roman"/>
          <w:color w:val="000000"/>
          <w:sz w:val="24"/>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4.2.1</w:t>
      </w:r>
    </w:p>
    <w:p>
      <w:pPr>
        <w:pStyle w:val="TextBody"/>
        <w:bidi w:val="0"/>
        <w:spacing w:before="120" w:after="283"/>
        <w:jc w:val="both"/>
        <w:rPr/>
      </w:pPr>
      <w:r>
        <w:rPr>
          <w:rFonts w:ascii="Times New Roman" w:hAnsi="Times New Roman"/>
          <w:b/>
          <w:color w:val="000000"/>
          <w:sz w:val="24"/>
          <w:u w:val="single"/>
        </w:rPr>
        <w:t>Construction Contract; Cost Budget</w:t>
      </w:r>
      <w:r>
        <w:rPr>
          <w:rFonts w:ascii="Times New Roman" w:hAnsi="Times New Roman"/>
          <w:color w:val="000000"/>
          <w:sz w:val="24"/>
        </w:rPr>
        <w:t>. Tenant shall engage the Contractor under a commercially reasonable and customary construction contract (collectively, the "</w:t>
      </w:r>
      <w:r>
        <w:rPr>
          <w:rFonts w:ascii="Times New Roman" w:hAnsi="Times New Roman"/>
          <w:b/>
          <w:color w:val="000000"/>
          <w:sz w:val="24"/>
        </w:rPr>
        <w:t>Contract</w:t>
      </w:r>
      <w:r>
        <w:rPr>
          <w:rFonts w:ascii="Times New Roman" w:hAnsi="Times New Roman"/>
          <w:color w:val="000000"/>
          <w:sz w:val="24"/>
        </w:rPr>
        <w:t>"). Prior to the commencement of the construction of any Phase of the Tenant Improvements, and after Tenant has accepted all bids for the Tenant Improvements, Tenant shall provide Landlord with a detailed breakdown, by trade, of the final costs to be incurred or which have been incurred in connection with the design and construction of the relevant Phase of the Tenant Improvements to be performed by or at the direction of Tenant or the Contractor, which costs form a basis for the estimated total costs of the work of the relevant Phase of the Tenant Improvements (each, a "</w:t>
      </w:r>
      <w:r>
        <w:rPr>
          <w:rFonts w:ascii="Times New Roman" w:hAnsi="Times New Roman"/>
          <w:b/>
          <w:color w:val="000000"/>
          <w:sz w:val="24"/>
        </w:rPr>
        <w:t>Final Budget</w:t>
      </w:r>
      <w:r>
        <w:rPr>
          <w:rFonts w:ascii="Times New Roman" w:hAnsi="Times New Roman"/>
          <w:color w:val="000000"/>
          <w:sz w:val="24"/>
        </w:rPr>
        <w:t>"). Any costs of design and construction of the Tenant Improvements in excess of the Tenant Improvement Allowance shall be paid by Tenant out of its</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80" w:after="283"/>
        <w:jc w:val="both"/>
        <w:rPr>
          <w:rFonts w:ascii="Times New Roman" w:hAnsi="Times New Roman"/>
          <w:sz w:val="20"/>
        </w:rPr>
      </w:pPr>
      <w:r>
        <w:rPr>
          <w:rFonts w:ascii="Times New Roman" w:hAnsi="Times New Roman"/>
          <w:color w:val="000000"/>
          <w:sz w:val="24"/>
        </w:rPr>
        <w:t xml:space="preserve">own funds once the Tenant Improvement Allowance is exhausted, but Tenant shall continue to provide Landlord with the documents described in </w:t>
      </w:r>
      <w:r>
        <w:rPr>
          <w:rFonts w:ascii="Times New Roman" w:hAnsi="Times New Roman"/>
          <w:color w:val="000000"/>
          <w:sz w:val="24"/>
          <w:u w:val="single"/>
        </w:rPr>
        <w:t>Sections 2.2.2.1(i)</w:t>
      </w:r>
      <w:r>
        <w:rPr>
          <w:rFonts w:ascii="Times New Roman" w:hAnsi="Times New Roman"/>
          <w:color w:val="000000"/>
          <w:sz w:val="24"/>
        </w:rPr>
        <w:t xml:space="preserve">, </w:t>
      </w:r>
      <w:r>
        <w:rPr>
          <w:rFonts w:ascii="Times New Roman" w:hAnsi="Times New Roman"/>
          <w:color w:val="000000"/>
          <w:sz w:val="24"/>
          <w:u w:val="single"/>
        </w:rPr>
        <w:t>(ii)</w:t>
      </w:r>
      <w:r>
        <w:rPr>
          <w:rFonts w:ascii="Times New Roman" w:hAnsi="Times New Roman"/>
          <w:color w:val="000000"/>
          <w:sz w:val="24"/>
        </w:rPr>
        <w:t xml:space="preserve">, </w:t>
      </w:r>
      <w:r>
        <w:rPr>
          <w:rFonts w:ascii="Times New Roman" w:hAnsi="Times New Roman"/>
          <w:color w:val="000000"/>
          <w:sz w:val="24"/>
          <w:u w:val="single"/>
        </w:rPr>
        <w:t>(iii)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(iv)</w:t>
      </w:r>
      <w:r>
        <w:rPr>
          <w:rFonts w:ascii="Times New Roman" w:hAnsi="Times New Roman"/>
          <w:color w:val="000000"/>
          <w:sz w:val="20"/>
        </w:rPr>
        <w:t xml:space="preserve"> </w:t>
      </w:r>
      <w:r>
        <w:rPr>
          <w:rFonts w:ascii="Times New Roman" w:hAnsi="Times New Roman"/>
          <w:color w:val="000000"/>
          <w:sz w:val="24"/>
        </w:rPr>
        <w:t>of this Tenant Work Letter, above, for Landlord's review, provided that the delivery of such documents to Landlord shall not be a condition precedent to Tenant paying such costs.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4.2.2</w:t>
      </w:r>
    </w:p>
    <w:p>
      <w:pPr>
        <w:pStyle w:val="TextBody"/>
        <w:bidi w:val="0"/>
        <w:spacing w:before="120" w:after="283"/>
        <w:jc w:val="both"/>
        <w:rPr/>
      </w:pPr>
      <w:r>
        <w:rPr>
          <w:rFonts w:ascii="Times New Roman" w:hAnsi="Times New Roman"/>
          <w:b/>
          <w:color w:val="000000"/>
          <w:sz w:val="24"/>
          <w:u w:val="single"/>
        </w:rPr>
        <w:t>Tenant's Agents</w:t>
      </w:r>
      <w:r>
        <w:rPr>
          <w:rFonts w:ascii="Times New Roman" w:hAnsi="Times New Roman"/>
          <w:color w:val="000000"/>
          <w:sz w:val="24"/>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4.2.2.1</w:t>
      </w:r>
    </w:p>
    <w:p>
      <w:pPr>
        <w:pStyle w:val="TextBody"/>
        <w:bidi w:val="0"/>
        <w:spacing w:before="120" w:after="283"/>
        <w:jc w:val="both"/>
        <w:rPr/>
      </w:pPr>
      <w:r>
        <w:rPr>
          <w:rFonts w:ascii="Times New Roman" w:hAnsi="Times New Roman"/>
          <w:b/>
          <w:color w:val="000000"/>
          <w:sz w:val="24"/>
          <w:u w:val="single"/>
        </w:rPr>
        <w:t>Compliance with Drawings and Schedule</w:t>
      </w:r>
      <w:r>
        <w:rPr>
          <w:rFonts w:ascii="Times New Roman" w:hAnsi="Times New Roman"/>
          <w:color w:val="000000"/>
          <w:sz w:val="24"/>
        </w:rPr>
        <w:t>. Tenant's and Tenant's Agent's construction of the Tenant Improvements shall comply with the following: (i) the Tenant Improvements shall be constructed in substantial accordance with the Approved Working Drawings; and (ii) Tenant's Agents shall submit schedules of all work relating to the Tenant's Improvements to Contractor and Contractor shall, within five (5) business days of receipt thereof, inform Tenant's Agents of any changes which are necessary thereto, and Tenant's Agents shall adhere to such corrected schedule.</w:t>
      </w:r>
    </w:p>
    <w:p>
      <w:pPr>
        <w:pStyle w:val="TextBody"/>
        <w:bidi w:val="0"/>
        <w:spacing w:before="121" w:after="283"/>
        <w:jc w:val="both"/>
        <w:rPr>
          <w:rFonts w:ascii="Times New Roman" w:hAnsi="Times New Roman"/>
          <w:color w:val="000000"/>
          <w:sz w:val="24"/>
        </w:rPr>
      </w:pPr>
      <w:r>
        <w:rPr>
          <w:rFonts w:ascii="Times New Roman" w:hAnsi="Times New Roman"/>
          <w:color w:val="000000"/>
          <w:sz w:val="24"/>
        </w:rPr>
        <w:t>4.2.2.2</w:t>
      </w:r>
    </w:p>
    <w:p>
      <w:pPr>
        <w:pStyle w:val="TextBody"/>
        <w:bidi w:val="0"/>
        <w:spacing w:before="121" w:after="283"/>
        <w:jc w:val="both"/>
        <w:rPr/>
      </w:pPr>
      <w:r>
        <w:rPr>
          <w:rFonts w:ascii="Times New Roman" w:hAnsi="Times New Roman"/>
          <w:b/>
          <w:color w:val="000000"/>
          <w:sz w:val="24"/>
          <w:u w:val="single"/>
        </w:rPr>
        <w:t>Indemnity</w:t>
      </w:r>
      <w:r>
        <w:rPr>
          <w:rFonts w:ascii="Times New Roman" w:hAnsi="Times New Roman"/>
          <w:color w:val="000000"/>
          <w:sz w:val="24"/>
        </w:rPr>
        <w:t>. Tenant's indemnity of Landlord as set forth in the Lease, as amended,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(except to the extent caused by Landlord's failure to disburse the Tenant Improvement Allowance as provided for in this Tenant Work Letter) and/or Tenant's disapproval of all or any portion of any request for payment. Such indemnity by Tenant, as set forth in the Lease, as amended, shall also apply with respect to any and all costs, losses, damages, injuries and liabilities related in any way to Landlord's performance of any ministerial acts reasonably necessary (i) to permit Tenant to complete the Tenant Improvements, and (ii) to enable Tenant to obtain any building permit or certificate of occupancy for the Expansion Premises. The foregoing indemnity shall not apply to claims caused by the gross negligence or willful misconduct of Landlord, its member partners, shareholders, officers, directors, agents, employees, and/or contractors.</w:t>
      </w:r>
    </w:p>
    <w:p>
      <w:pPr>
        <w:pStyle w:val="TextBody"/>
        <w:bidi w:val="0"/>
        <w:spacing w:before="121" w:after="283"/>
        <w:jc w:val="both"/>
        <w:rPr>
          <w:rFonts w:ascii="Times New Roman" w:hAnsi="Times New Roman"/>
          <w:color w:val="000000"/>
          <w:sz w:val="24"/>
        </w:rPr>
      </w:pPr>
      <w:r>
        <w:rPr>
          <w:rFonts w:ascii="Times New Roman" w:hAnsi="Times New Roman"/>
          <w:color w:val="000000"/>
          <w:sz w:val="24"/>
        </w:rPr>
        <w:t>4.2.2.3</w:t>
      </w:r>
    </w:p>
    <w:p>
      <w:pPr>
        <w:pStyle w:val="TextBody"/>
        <w:bidi w:val="0"/>
        <w:spacing w:before="121" w:after="283"/>
        <w:jc w:val="both"/>
        <w:rPr/>
      </w:pPr>
      <w:r>
        <w:rPr>
          <w:rFonts w:ascii="Times New Roman" w:hAnsi="Times New Roman"/>
          <w:b/>
          <w:color w:val="000000"/>
          <w:sz w:val="24"/>
          <w:u w:val="single"/>
        </w:rPr>
        <w:t>Requirements of Tenant's Agents</w:t>
      </w:r>
      <w:r>
        <w:rPr>
          <w:rFonts w:ascii="Times New Roman" w:hAnsi="Times New Roman"/>
          <w:color w:val="000000"/>
          <w:sz w:val="24"/>
        </w:rPr>
        <w:t>. Each of Tenant's Agents shall guarantee to Tenant and for the benefit of Landlord that the portion of the Tenant Improvements for which it is responsible shall be free from any defects in workmanship and materials for a period of not less than one (1) year from the date of substantial completion of the work under the Contract ("</w:t>
      </w:r>
      <w:r>
        <w:rPr>
          <w:rFonts w:ascii="Times New Roman" w:hAnsi="Times New Roman"/>
          <w:b/>
          <w:color w:val="000000"/>
          <w:sz w:val="24"/>
        </w:rPr>
        <w:t>Substantial Completion</w:t>
      </w:r>
      <w:r>
        <w:rPr>
          <w:rFonts w:ascii="Times New Roman" w:hAnsi="Times New Roman"/>
          <w:color w:val="000000"/>
          <w:sz w:val="24"/>
        </w:rPr>
        <w:t>"). Each of Tenant's Agents shall be responsible for the replacement or repair, without additional charge, of all work done or furnished in accordance with its contract that shall become defective within one (1) year after Substantial Completion. The correction of such work shall include, without additional charge, all additional expenses and damages incurred in connection with such removal or replacement of all or any part of the Tenant Improvements, and/or the Building and/or common areas that may be damaged or disturbed thereby. All such warranties or guarantees as to materials or workmanship of or with respect to the Tenant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which may be necessary to effect such right of direct enforcement.</w:t>
      </w:r>
    </w:p>
    <w:p>
      <w:pPr>
        <w:pStyle w:val="TextBody"/>
        <w:bidi w:val="0"/>
        <w:spacing w:before="80" w:after="283"/>
        <w:jc w:val="left"/>
        <w:rPr>
          <w:rFonts w:ascii="Times New Roman" w:hAnsi="Times New Roman"/>
          <w:color w:val="000000"/>
          <w:sz w:val="24"/>
        </w:rPr>
      </w:pPr>
      <w:r>
        <w:rPr>
          <w:rFonts w:ascii="Times New Roman" w:hAnsi="Times New Roman"/>
          <w:color w:val="000000"/>
          <w:sz w:val="24"/>
        </w:rPr>
        <w:t>4.2.2.4</w:t>
      </w:r>
    </w:p>
    <w:p>
      <w:pPr>
        <w:pStyle w:val="TextBody"/>
        <w:bidi w:val="0"/>
        <w:spacing w:before="80" w:after="283"/>
        <w:jc w:val="left"/>
        <w:rPr/>
      </w:pPr>
      <w:r>
        <w:rPr>
          <w:rFonts w:ascii="Times New Roman" w:hAnsi="Times New Roman"/>
          <w:b/>
          <w:color w:val="000000"/>
          <w:sz w:val="24"/>
          <w:u w:val="single"/>
        </w:rPr>
        <w:t>Insurance Requirements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4.2.2.4.1</w:t>
      </w:r>
    </w:p>
    <w:p>
      <w:pPr>
        <w:pStyle w:val="TextBody"/>
        <w:bidi w:val="0"/>
        <w:spacing w:before="240" w:after="283"/>
        <w:jc w:val="both"/>
        <w:rPr/>
      </w:pPr>
      <w:r>
        <w:rPr>
          <w:rFonts w:ascii="Times New Roman" w:hAnsi="Times New Roman"/>
          <w:b/>
          <w:color w:val="000000"/>
          <w:sz w:val="24"/>
          <w:u w:val="single"/>
        </w:rPr>
        <w:t>General Coverages</w:t>
      </w:r>
      <w:r>
        <w:rPr>
          <w:rFonts w:ascii="Times New Roman" w:hAnsi="Times New Roman"/>
          <w:color w:val="000000"/>
          <w:sz w:val="24"/>
        </w:rPr>
        <w:t xml:space="preserve">. The Contractor and all </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240" w:after="283"/>
        <w:jc w:val="both"/>
        <w:rPr/>
      </w:pPr>
      <w:r>
        <w:rPr>
          <w:rFonts w:ascii="Times New Roman" w:hAnsi="Times New Roman"/>
          <w:color w:val="000000"/>
          <w:sz w:val="24"/>
        </w:rPr>
        <w:t>mechanical, engineering and plumbing subcontractors ("</w:t>
      </w:r>
      <w:r>
        <w:rPr>
          <w:rFonts w:ascii="Times New Roman" w:hAnsi="Times New Roman"/>
          <w:b/>
          <w:color w:val="000000"/>
          <w:sz w:val="24"/>
        </w:rPr>
        <w:t>Major Subcontractors</w:t>
      </w:r>
      <w:r>
        <w:rPr>
          <w:rFonts w:ascii="Times New Roman" w:hAnsi="Times New Roman"/>
          <w:color w:val="000000"/>
          <w:sz w:val="24"/>
        </w:rPr>
        <w:t>") shall carry the following insurance with insurers having a minimum A.M. best rating of A- VIII or better (i) worker's compensation insurance covering the Contractor’s or Major Subcontractor’s respective employees with a waiver of subrogation in favor of Landlord and the property manager, (ii) general liability insurance with a limit of not less than $1,000,000 per occurrence and $2,000,000 general aggregate, including products/completed operations and contractual coverage, and including Landlord and its property manager as additional insureds, and (ii) if the cost of such Tenant Improvements exceeds $100,000 in the aggregate, then Builders Risk insurance covering the construction of the Tenant Improvements, and such policy shall include Landlord as an additional insured. Other Tenant’s Agents shall carry commercially reasonable amounts of insurance as reasonably approved by Landlord.</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4.2.2.4.2</w:t>
      </w:r>
    </w:p>
    <w:p>
      <w:pPr>
        <w:pStyle w:val="TextBody"/>
        <w:bidi w:val="0"/>
        <w:spacing w:before="241" w:after="283"/>
        <w:jc w:val="left"/>
        <w:rPr/>
      </w:pPr>
      <w:r>
        <w:rPr>
          <w:rFonts w:ascii="Times New Roman" w:hAnsi="Times New Roman"/>
          <w:b/>
          <w:color w:val="000000"/>
          <w:sz w:val="24"/>
          <w:u w:val="single"/>
        </w:rPr>
        <w:t>Intentionally Omitted</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4.2.2.4.3</w:t>
      </w:r>
    </w:p>
    <w:p>
      <w:pPr>
        <w:pStyle w:val="TextBody"/>
        <w:bidi w:val="0"/>
        <w:spacing w:before="240" w:after="283"/>
        <w:jc w:val="both"/>
        <w:rPr/>
      </w:pPr>
      <w:r>
        <w:rPr>
          <w:rFonts w:ascii="Times New Roman" w:hAnsi="Times New Roman"/>
          <w:b/>
          <w:color w:val="000000"/>
          <w:sz w:val="24"/>
          <w:u w:val="single"/>
        </w:rPr>
        <w:t>General Terms</w:t>
      </w:r>
      <w:r>
        <w:rPr>
          <w:rFonts w:ascii="Times New Roman" w:hAnsi="Times New Roman"/>
          <w:color w:val="000000"/>
          <w:sz w:val="24"/>
        </w:rPr>
        <w:t xml:space="preserve">. Certificates for all insurance carried pursuant to this </w:t>
      </w:r>
      <w:r>
        <w:rPr>
          <w:rFonts w:ascii="Times New Roman" w:hAnsi="Times New Roman"/>
          <w:color w:val="000000"/>
          <w:sz w:val="24"/>
          <w:u w:val="single"/>
        </w:rPr>
        <w:t>Section 4.2.2.4</w:t>
      </w:r>
      <w:r>
        <w:rPr>
          <w:color w:val="000000"/>
        </w:rPr>
        <w:t xml:space="preserve"> </w:t>
      </w:r>
      <w:r>
        <w:rPr>
          <w:rFonts w:ascii="Times New Roman" w:hAnsi="Times New Roman"/>
          <w:color w:val="000000"/>
          <w:sz w:val="24"/>
        </w:rPr>
        <w:t xml:space="preserve">shall be delivered to Landlord before the commencement of construction of the Expansion Tenant Improvements and before the Contractor's equipment is moved onto the site. All such policies of insurance must contain a provision that the company writing said policy will endeavor to give Landlord thirty (30) days prior written notice of any cancellation or lapse of the effective date or any reduction in the amounts of such insurance. In the event that the Expansion Tenant Improvements are damaged by any cause during the course of the construction thereof, Tenant shall immediately repair the same at Tenant's sole cost and expense. Tenant's Agents shall maintain all of the foregoing insurance coverage in force until the Expansion Tenant Improvements are fully completed, except for any Products and Completed Operation Coverage insurance required by Landlord, which is to be maintained for ten (10) years following completion of the work. Such insurance shall provide that it is primary insurance as respects the owner and that any other insurance maintained by owner is excess and noncontributing with the insurance required hereunder. The requirements for the foregoing insurance shall not derogate from the provisions for indemnification of Landlord by Tenant under </w:t>
      </w:r>
      <w:r>
        <w:rPr>
          <w:rFonts w:ascii="Times New Roman" w:hAnsi="Times New Roman"/>
          <w:color w:val="000000"/>
          <w:sz w:val="24"/>
          <w:u w:val="single"/>
        </w:rPr>
        <w:t>Section 4.2.2.2</w:t>
      </w:r>
      <w:r>
        <w:rPr>
          <w:color w:val="000000"/>
        </w:rPr>
        <w:t xml:space="preserve"> </w:t>
      </w:r>
      <w:r>
        <w:rPr>
          <w:rFonts w:ascii="Times New Roman" w:hAnsi="Times New Roman"/>
          <w:color w:val="000000"/>
          <w:sz w:val="24"/>
        </w:rPr>
        <w:t>of this Tenant Work Letter.</w:t>
      </w:r>
    </w:p>
    <w:p>
      <w:pPr>
        <w:pStyle w:val="TextBody"/>
        <w:bidi w:val="0"/>
        <w:spacing w:before="121" w:after="283"/>
        <w:jc w:val="both"/>
        <w:rPr>
          <w:rFonts w:ascii="Times New Roman" w:hAnsi="Times New Roman"/>
          <w:color w:val="000000"/>
          <w:sz w:val="24"/>
        </w:rPr>
      </w:pPr>
      <w:r>
        <w:rPr>
          <w:rFonts w:ascii="Times New Roman" w:hAnsi="Times New Roman"/>
          <w:color w:val="000000"/>
          <w:sz w:val="24"/>
        </w:rPr>
        <w:t>4.2.3</w:t>
      </w:r>
    </w:p>
    <w:p>
      <w:pPr>
        <w:pStyle w:val="TextBody"/>
        <w:bidi w:val="0"/>
        <w:spacing w:before="121" w:after="283"/>
        <w:jc w:val="both"/>
        <w:rPr/>
      </w:pPr>
      <w:r>
        <w:rPr>
          <w:rFonts w:ascii="Times New Roman" w:hAnsi="Times New Roman"/>
          <w:b/>
          <w:color w:val="000000"/>
          <w:sz w:val="24"/>
          <w:u w:val="single"/>
        </w:rPr>
        <w:t>Governmental Compliance</w:t>
      </w:r>
      <w:r>
        <w:rPr>
          <w:rFonts w:ascii="Times New Roman" w:hAnsi="Times New Roman"/>
          <w:color w:val="000000"/>
          <w:sz w:val="24"/>
        </w:rPr>
        <w:t>. The Tenant Improvements shall comply in all respects with the following: (i) all state, federal, city or quasi-governmental laws, codes, ordinances and regulations, as each may apply according to the rulings of the controlling public official, agent or other person; (ii) applicable standards of the American Insurance Association (formerly, the National Board of Fire Underwriters) and the National Electrical Code; and</w:t>
      </w:r>
    </w:p>
    <w:p>
      <w:pPr>
        <w:pStyle w:val="TextBody"/>
        <w:bidi w:val="0"/>
        <w:jc w:val="both"/>
        <w:rPr>
          <w:rFonts w:ascii="Times New Roman" w:hAnsi="Times New Roman"/>
          <w:color w:val="000000"/>
          <w:sz w:val="24"/>
        </w:rPr>
      </w:pPr>
      <w:r>
        <w:rPr>
          <w:rFonts w:ascii="Times New Roman" w:hAnsi="Times New Roman"/>
          <w:color w:val="000000"/>
          <w:sz w:val="24"/>
        </w:rPr>
        <w:t>(iii) building material manufacturer's specifications.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4.2.4</w:t>
      </w:r>
    </w:p>
    <w:p>
      <w:pPr>
        <w:pStyle w:val="TextBody"/>
        <w:bidi w:val="0"/>
        <w:spacing w:before="120" w:after="283"/>
        <w:jc w:val="both"/>
        <w:rPr/>
      </w:pPr>
      <w:r>
        <w:rPr>
          <w:rFonts w:ascii="Times New Roman" w:hAnsi="Times New Roman"/>
          <w:b/>
          <w:color w:val="000000"/>
          <w:sz w:val="24"/>
          <w:u w:val="single"/>
        </w:rPr>
        <w:t>Inspection by Landlord</w:t>
      </w:r>
      <w:r>
        <w:rPr>
          <w:rFonts w:ascii="Times New Roman" w:hAnsi="Times New Roman"/>
          <w:color w:val="000000"/>
          <w:sz w:val="24"/>
        </w:rPr>
        <w:t>. Landlord shall have the right to inspect the Tenant Improvements at all times, provided however, that Landlord's failure to inspect the Tenant Improvements shall in no event constitute a waiver of any of Landlord's rights hereunder nor shall Landlord's inspection of the Tenant Improvements constitute Landlord's approval of the same. Should Landlord reasonably disapprove any portion of the Tenant Improvements, on the grounds that the construction is defective or fails to substantially comply with the Approved Working Drawings, Landlord shall notify Tenant in writing of such disapproval and shall specify the items</w:t>
      </w:r>
    </w:p>
    <w:p>
      <w:pPr>
        <w:pStyle w:val="TextBody"/>
        <w:bidi w:val="0"/>
        <w:spacing w:before="80" w:after="283"/>
        <w:jc w:val="both"/>
        <w:rPr>
          <w:rFonts w:ascii="Times New Roman" w:hAnsi="Times New Roman"/>
          <w:sz w:val="20"/>
        </w:rPr>
      </w:pPr>
      <w:r>
        <w:rPr>
          <w:rFonts w:ascii="Times New Roman" w:hAnsi="Times New Roman"/>
          <w:color w:val="000000"/>
          <w:sz w:val="24"/>
        </w:rPr>
        <w:t>disapproved. Any such defects or deviations shall be rectified by Tenant at no expense to Landlord, provided however, that in the event Landlord determines that a defect or deviation exists that might adversely affect the mechanical, electrical, plumbing, heating, ventilating and air conditioning or</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life-safety systems of the Building, the structure or exterior appearance of the Building or any other tenant's use of such other tenant's leased premises, Landlord may, take such action as Landlord reasonably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reasonable satisfaction.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4.2.5</w:t>
      </w:r>
    </w:p>
    <w:p>
      <w:pPr>
        <w:pStyle w:val="TextBody"/>
        <w:bidi w:val="0"/>
        <w:spacing w:before="120" w:after="283"/>
        <w:jc w:val="both"/>
        <w:rPr/>
      </w:pPr>
      <w:r>
        <w:rPr>
          <w:rFonts w:ascii="Times New Roman" w:hAnsi="Times New Roman"/>
          <w:b/>
          <w:color w:val="000000"/>
          <w:sz w:val="24"/>
          <w:u w:val="single"/>
        </w:rPr>
        <w:t>Meetings</w:t>
      </w:r>
      <w:r>
        <w:rPr>
          <w:rFonts w:ascii="Times New Roman" w:hAnsi="Times New Roman"/>
          <w:color w:val="000000"/>
          <w:sz w:val="24"/>
        </w:rPr>
        <w:t>. Commencing upon the execution of this First Amendment, Tenant shall hold weekly meetings at a reasonable time, with the Architect and the Contractor regarding the progress of the preparation of Construction Drawings and the construction of the Tenant Improvements, and Landlord and/or its agents shall receive prior notice of, and shall have the right to attend, all such meetings, and, upon Landlord's request, certain of Tenant's Agents shall attend such meetings. In addition, minutes shall be taken at all such meetings, a copy of which minutes shall be promptly delivered to Landlord. One such meeting each month shall include the review of Contractor's current request for payment.</w:t>
      </w:r>
    </w:p>
    <w:p>
      <w:pPr>
        <w:pStyle w:val="TextBody"/>
        <w:bidi w:val="0"/>
        <w:spacing w:before="121" w:after="283"/>
        <w:jc w:val="both"/>
        <w:rPr>
          <w:rFonts w:ascii="Times New Roman" w:hAnsi="Times New Roman"/>
          <w:color w:val="000000"/>
          <w:sz w:val="24"/>
        </w:rPr>
      </w:pPr>
      <w:r>
        <w:rPr>
          <w:rFonts w:ascii="Times New Roman" w:hAnsi="Times New Roman"/>
          <w:color w:val="000000"/>
          <w:sz w:val="24"/>
        </w:rPr>
        <w:t>4.3</w:t>
      </w:r>
    </w:p>
    <w:p>
      <w:pPr>
        <w:pStyle w:val="TextBody"/>
        <w:bidi w:val="0"/>
        <w:spacing w:before="121" w:after="283"/>
        <w:jc w:val="both"/>
        <w:rPr/>
      </w:pPr>
      <w:r>
        <w:rPr>
          <w:rFonts w:ascii="Times New Roman" w:hAnsi="Times New Roman"/>
          <w:b/>
          <w:color w:val="000000"/>
          <w:sz w:val="24"/>
          <w:u w:val="single"/>
        </w:rPr>
        <w:t>Notice of Completion; Copy of Record Set of Plans</w:t>
      </w:r>
      <w:r>
        <w:rPr>
          <w:rFonts w:ascii="Times New Roman" w:hAnsi="Times New Roman"/>
          <w:color w:val="000000"/>
          <w:sz w:val="24"/>
        </w:rPr>
        <w:t>. Within ten (10) days after completion of construction of the Tenant Improvements, Tenant shall cause a valid Notice of Completion to be recorded in the office of the Recorder of the county in which the Building is located in accordance with Section 8182 of the Civil Code of the State of California or any successor statute, and shall furnish a copy thereof to Landlord upon such recordation. If Tenant fails to do so, Landlord may execute and file the same on behalf of Tenant as Tenant's agent for such purpose, at Tenant's sole cost and expense. At the conclusion of construction, (i) Tenant shall cause the Architect and Contractor (</w:t>
      </w:r>
      <w:r>
        <w:rPr>
          <w:rFonts w:ascii="Times New Roman" w:hAnsi="Times New Roman"/>
          <w:i/>
          <w:color w:val="000000"/>
          <w:sz w:val="24"/>
        </w:rPr>
        <w:t>x</w:t>
      </w:r>
      <w:r>
        <w:rPr>
          <w:rFonts w:ascii="Times New Roman" w:hAnsi="Times New Roman"/>
          <w:color w:val="000000"/>
          <w:sz w:val="24"/>
        </w:rPr>
        <w:t>) to update the Approved Working Drawings as necessary to reflect all changes made to the Approved Working Drawings during the course of construction,</w:t>
      </w:r>
    </w:p>
    <w:p>
      <w:pPr>
        <w:pStyle w:val="TextBody"/>
        <w:bidi w:val="0"/>
        <w:spacing w:before="1" w:after="283"/>
        <w:jc w:val="both"/>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y</w:t>
      </w:r>
      <w:r>
        <w:rPr>
          <w:rFonts w:ascii="Times New Roman" w:hAnsi="Times New Roman"/>
          <w:color w:val="000000"/>
          <w:sz w:val="24"/>
        </w:rPr>
        <w:t>) to certify to the best of their knowledge that the "record-set" of as-built drawings are true and correct, which certification shall survive the expiration or termination of the Lease, as amended, and (</w:t>
      </w:r>
      <w:r>
        <w:rPr>
          <w:rFonts w:ascii="Times New Roman" w:hAnsi="Times New Roman"/>
          <w:i/>
          <w:color w:val="000000"/>
          <w:sz w:val="24"/>
        </w:rPr>
        <w:t>z</w:t>
      </w:r>
      <w:r>
        <w:rPr>
          <w:rFonts w:ascii="Times New Roman" w:hAnsi="Times New Roman"/>
          <w:color w:val="000000"/>
          <w:sz w:val="24"/>
        </w:rPr>
        <w:t>) to deliver to Landlord two (2) sets of copies of such record set of drawings (hard copy and CAD files) within ninety (90) days following issuance of a certificate of occupancy for the Expansion Premises, and (ii) Tenant shall deliver to Landlord a copy of all warranties, guaranties, and operating manuals and information relating to the improvements, equipment, and systems in the Expansion Premises. Within fifteen (15) days after request by Tenant following the Substantial Completion of the Tenant Improvements, Landlord will acknowledge its approval of the Tenant Improvements (provided that such approval has been granted) by placing its signature on a Contractor’s Certificate of Substantial Completion fully executed by the Architect, Contractor and Tenant. Landlord’s approval shall not create any contingent liabilities for Landlord with respect to any latent quality, design, Code compliance or other like matters that may arise subsequent to Landlord’s approval.</w:t>
      </w:r>
    </w:p>
    <w:p>
      <w:pPr>
        <w:pStyle w:val="TextBody"/>
        <w:bidi w:val="0"/>
        <w:spacing w:before="245" w:after="283"/>
        <w:jc w:val="center"/>
        <w:rPr/>
      </w:pPr>
      <w:r>
        <w:rPr/>
        <w:t> </w:t>
      </w:r>
    </w:p>
    <w:p>
      <w:pPr>
        <w:pStyle w:val="TextBody"/>
        <w:bidi w:val="0"/>
        <w:spacing w:before="245" w:after="283"/>
        <w:jc w:val="center"/>
        <w:rPr/>
      </w:pPr>
      <w:r>
        <w:rPr/>
        <w:t> </w:t>
      </w:r>
    </w:p>
    <w:p>
      <w:pPr>
        <w:pStyle w:val="TextBody"/>
        <w:bidi w:val="0"/>
        <w:spacing w:before="245" w:after="283"/>
        <w:jc w:val="center"/>
        <w:rPr>
          <w:rFonts w:ascii="Times New Roman" w:hAnsi="Times New Roman"/>
          <w:b/>
          <w:color w:val="000000"/>
          <w:sz w:val="24"/>
          <w:u w:val="single"/>
        </w:rPr>
      </w:pPr>
      <w:r>
        <w:rPr>
          <w:rFonts w:ascii="Times New Roman" w:hAnsi="Times New Roman"/>
          <w:b/>
          <w:color w:val="000000"/>
          <w:sz w:val="24"/>
          <w:u w:val="single"/>
        </w:rPr>
        <w:t>SECTION 5</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MISCELLANEOUS</w:t>
      </w:r>
    </w:p>
    <w:p>
      <w:pPr>
        <w:pStyle w:val="TextBody"/>
        <w:bidi w:val="0"/>
        <w:spacing w:before="115" w:after="283"/>
        <w:jc w:val="left"/>
        <w:rPr>
          <w:rFonts w:ascii="Times New Roman" w:hAnsi="Times New Roman"/>
          <w:color w:val="000000"/>
          <w:sz w:val="24"/>
        </w:rPr>
      </w:pPr>
      <w:r>
        <w:rPr>
          <w:rFonts w:ascii="Times New Roman" w:hAnsi="Times New Roman"/>
          <w:color w:val="000000"/>
          <w:sz w:val="24"/>
        </w:rPr>
        <w:t>5.1</w:t>
      </w:r>
    </w:p>
    <w:p>
      <w:pPr>
        <w:pStyle w:val="TextBody"/>
        <w:bidi w:val="0"/>
        <w:spacing w:before="115" w:after="283"/>
        <w:jc w:val="left"/>
        <w:rPr/>
      </w:pPr>
      <w:r>
        <w:rPr>
          <w:rFonts w:ascii="Times New Roman" w:hAnsi="Times New Roman"/>
          <w:b/>
          <w:color w:val="000000"/>
          <w:sz w:val="24"/>
          <w:u w:val="single"/>
        </w:rPr>
        <w:t>Intentionally Omitted</w:t>
      </w:r>
      <w:r>
        <w:rPr>
          <w:rFonts w:ascii="Times New Roman" w:hAnsi="Times New Roman"/>
          <w:color w:val="000000"/>
          <w:sz w:val="24"/>
        </w:rPr>
        <w:t>.</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both"/>
        <w:rPr/>
      </w:pPr>
      <w:r>
        <w:rPr/>
        <w:t> </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5.2</w:t>
      </w:r>
    </w:p>
    <w:p>
      <w:pPr>
        <w:pStyle w:val="TextBody"/>
        <w:bidi w:val="0"/>
        <w:spacing w:before="80" w:after="283"/>
        <w:jc w:val="both"/>
        <w:rPr/>
      </w:pPr>
      <w:r>
        <w:rPr>
          <w:rFonts w:ascii="Times New Roman" w:hAnsi="Times New Roman"/>
          <w:b/>
          <w:color w:val="000000"/>
          <w:sz w:val="24"/>
          <w:u w:val="single"/>
        </w:rPr>
        <w:t>Tenant's Representative</w:t>
      </w:r>
      <w:r>
        <w:rPr>
          <w:rFonts w:ascii="Times New Roman" w:hAnsi="Times New Roman"/>
          <w:color w:val="000000"/>
          <w:sz w:val="24"/>
        </w:rPr>
        <w:t>. Tenant has designated Monica Sullivan as its sole representatives with respect to the matters set forth in this Tenant Work Letter, who shall each have full authority and responsibility to act on behalf of the Tenant as required in this Tenant Work Letter.</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5.3</w:t>
      </w:r>
    </w:p>
    <w:p>
      <w:pPr>
        <w:pStyle w:val="TextBody"/>
        <w:bidi w:val="0"/>
        <w:spacing w:before="120" w:after="283"/>
        <w:jc w:val="both"/>
        <w:rPr/>
      </w:pPr>
      <w:r>
        <w:rPr>
          <w:rFonts w:ascii="Times New Roman" w:hAnsi="Times New Roman"/>
          <w:b/>
          <w:color w:val="000000"/>
          <w:sz w:val="24"/>
          <w:u w:val="single"/>
        </w:rPr>
        <w:t>Landlord's Representative</w:t>
      </w:r>
      <w:r>
        <w:rPr>
          <w:rFonts w:ascii="Times New Roman" w:hAnsi="Times New Roman"/>
          <w:color w:val="000000"/>
          <w:sz w:val="24"/>
        </w:rPr>
        <w:t>. Landlord has designated Crista Swan with PMA, as its sole representatives with respect to the matters set forth in this Tenant Work Letter, who, until further notice to Tenant, shall have full authority and responsibility to act on behalf of the Landlord as required in this Tenant Work Letter.</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5.4</w:t>
      </w:r>
    </w:p>
    <w:p>
      <w:pPr>
        <w:pStyle w:val="TextBody"/>
        <w:bidi w:val="0"/>
        <w:spacing w:before="120" w:after="283"/>
        <w:jc w:val="both"/>
        <w:rPr/>
      </w:pPr>
      <w:r>
        <w:rPr>
          <w:rFonts w:ascii="Times New Roman" w:hAnsi="Times New Roman"/>
          <w:b/>
          <w:color w:val="000000"/>
          <w:sz w:val="24"/>
          <w:u w:val="single"/>
        </w:rPr>
        <w:t>Time is of the Essence in This Tenant Work Letter</w:t>
      </w:r>
      <w:r>
        <w:rPr>
          <w:rFonts w:ascii="Times New Roman" w:hAnsi="Times New Roman"/>
          <w:color w:val="000000"/>
          <w:sz w:val="24"/>
        </w:rPr>
        <w:t>. Unless otherwise indicated, all references herein to a "number of days" shall mean and refer to calendar days. If any item requiring approval is timely disapproved by Landlord, the procedure for preparation of the document and approval thereof shall be repeated until the document is approved by Landlord.</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5.5</w:t>
      </w:r>
    </w:p>
    <w:p>
      <w:pPr>
        <w:pStyle w:val="TextBody"/>
        <w:bidi w:val="0"/>
        <w:spacing w:before="241" w:after="283"/>
        <w:jc w:val="both"/>
        <w:rPr/>
      </w:pPr>
      <w:r>
        <w:rPr>
          <w:rFonts w:ascii="Times New Roman" w:hAnsi="Times New Roman"/>
          <w:b/>
          <w:color w:val="000000"/>
          <w:sz w:val="24"/>
          <w:u w:val="single"/>
        </w:rPr>
        <w:t>Tenant's Lease Default</w:t>
      </w:r>
      <w:r>
        <w:rPr>
          <w:rFonts w:ascii="Times New Roman" w:hAnsi="Times New Roman"/>
          <w:color w:val="000000"/>
          <w:sz w:val="24"/>
        </w:rPr>
        <w:t>. Notwithstanding any provision to the contrary contained in the Lease, as amended, or this Tenant Work Letter, if any default by Tenant under the Lease, as amended, or this Tenant Work Letter occurs at any time on or before the substantial completion of the Tenant Improvements and such default remains uncured beyond the applicable notice and cure periods set forth in the Lease, then in addition to all other rights and remedies granted to Landlord pursuant to the Lease, as amended, Landlord shall have the right to withhold payment of all or any portion of the Tenant Improvement Allowance and/or Landlord may, without any liability whatsoever, cause the cessation of construction of the Tenant Improvements (in which case, Tenant shall be responsible for any delay in the substantial completion of the Tenant Improvements and any costs occasioned thereby).</w:t>
      </w:r>
    </w:p>
    <w:p>
      <w:pPr>
        <w:pStyle w:val="TextBody"/>
        <w:bidi w:val="0"/>
        <w:jc w:val="left"/>
        <w:rPr/>
      </w:pPr>
      <w:r>
        <w:rPr/>
        <w:t> </w:t>
      </w:r>
    </w:p>
    <w:p>
      <w:pPr>
        <w:pStyle w:val="TextBody"/>
        <w:bidi w:val="0"/>
        <w:spacing w:before="13" w:after="283"/>
        <w:ind w:left="20" w:right="0" w:hanging="0"/>
        <w:jc w:val="left"/>
        <w:rPr/>
      </w:pPr>
      <w:r>
        <w:rPr/>
        <w:t> </w:t>
      </w:r>
    </w:p>
    <w:p>
      <w:pPr>
        <w:pStyle w:val="TextBody"/>
        <w:pBdr/>
        <w:bidi w:val="0"/>
        <w:ind w:left="622" w:right="0" w:hanging="207"/>
        <w:jc w:val="left"/>
        <w:rPr/>
      </w:pPr>
      <w:r>
        <w:rPr/>
        <w:t> </w:t>
      </w:r>
    </w:p>
    <w:p>
      <w:pPr>
        <w:pStyle w:val="TextBody"/>
        <w:bidi w:val="0"/>
        <w:spacing w:before="13" w:after="283"/>
        <w:ind w:left="20" w:right="0" w:hanging="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bcab-ex10_24.htm"/>
      <w:bookmarkStart w:id="50" w:name="ksbcabex10_24"/>
      <w:bookmarkEnd w:id="49"/>
      <w:bookmarkEnd w:id="50"/>
      <w:r>
        <w:rPr>
          <w:rFonts w:ascii="Times New Roman" w:hAnsi="Times New Roman"/>
          <w:b/>
          <w:color w:val="000000"/>
          <w:sz w:val="20"/>
        </w:rPr>
        <w:t>Exhibit 10.24</w:t>
      </w:r>
      <w:r>
        <w:br w:type="page"/>
      </w:r>
    </w:p>
    <w:p>
      <w:pPr>
        <w:pStyle w:val="TextBody"/>
        <w:bidi w:val="0"/>
        <w:spacing w:before="0" w:after="240"/>
        <w:jc w:val="right"/>
        <w:rPr>
          <w:rFonts w:ascii="Times New Roman" w:hAnsi="Times New Roman"/>
          <w:sz w:val="20"/>
        </w:rPr>
      </w:pPr>
      <w:r>
        <w:rPr>
          <w:rFonts w:ascii="Times New Roman" w:hAnsi="Times New Roman"/>
          <w:b/>
          <w:color w:val="000000"/>
          <w:sz w:val="20"/>
        </w:rPr>
        <w:t xml:space="preserve">Stock Option No: </w:t>
      </w:r>
      <w:r>
        <w:rPr>
          <w:rFonts w:ascii="Times New Roman" w:hAnsi="Times New Roman"/>
          <w:b/>
          <w:color w:val="000000"/>
          <w:sz w:val="20"/>
          <w:u w:val="single"/>
        </w:rPr>
        <w:t>Stock Option</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STOCK OPTION AGREEMENT</w:t>
        <w:br/>
        <w:t xml:space="preserve">UNDER THE BIOATLA, INC. </w:t>
        <w:br/>
        <w:t>2020 EQUITY INCENTIVE PLAN</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THIS STOCK OPTION AGREEMENT</w:t>
      </w:r>
      <w:r>
        <w:rPr>
          <w:rFonts w:ascii="Times New Roman" w:hAnsi="Times New Roman"/>
          <w:color w:val="000000"/>
          <w:sz w:val="20"/>
        </w:rPr>
        <w:t xml:space="preserve"> (this “</w:t>
      </w:r>
      <w:r>
        <w:rPr>
          <w:rFonts w:ascii="Times New Roman" w:hAnsi="Times New Roman"/>
          <w:b/>
          <w:i/>
          <w:color w:val="000000"/>
          <w:sz w:val="20"/>
        </w:rPr>
        <w:t>Agreement</w:t>
      </w:r>
      <w:r>
        <w:rPr>
          <w:rFonts w:ascii="Times New Roman" w:hAnsi="Times New Roman"/>
          <w:color w:val="000000"/>
          <w:sz w:val="20"/>
        </w:rPr>
        <w:t>”) is between BioAtla, Inc., a Delaware corporation (the “</w:t>
      </w:r>
      <w:r>
        <w:rPr>
          <w:rFonts w:ascii="Times New Roman" w:hAnsi="Times New Roman"/>
          <w:b/>
          <w:i/>
          <w:color w:val="000000"/>
          <w:sz w:val="20"/>
        </w:rPr>
        <w:t>Company</w:t>
      </w:r>
      <w:r>
        <w:rPr>
          <w:rFonts w:ascii="Times New Roman" w:hAnsi="Times New Roman"/>
          <w:color w:val="000000"/>
          <w:sz w:val="20"/>
        </w:rPr>
        <w:t xml:space="preserve">”), and </w:t>
      </w:r>
      <w:r>
        <w:rPr>
          <w:rFonts w:ascii="Times New Roman" w:hAnsi="Times New Roman"/>
          <w:b/>
          <w:i/>
          <w:color w:val="000000"/>
          <w:sz w:val="20"/>
        </w:rPr>
        <w:t>____________</w:t>
      </w:r>
      <w:r>
        <w:rPr>
          <w:rFonts w:ascii="Times New Roman" w:hAnsi="Times New Roman"/>
          <w:color w:val="000000"/>
          <w:sz w:val="20"/>
        </w:rPr>
        <w:t xml:space="preserve"> (the “</w:t>
      </w:r>
      <w:r>
        <w:rPr>
          <w:rFonts w:ascii="Times New Roman" w:hAnsi="Times New Roman"/>
          <w:b/>
          <w:i/>
          <w:color w:val="000000"/>
          <w:sz w:val="20"/>
        </w:rPr>
        <w:t>Grantee</w:t>
      </w:r>
      <w:r>
        <w:rPr>
          <w:rFonts w:ascii="Times New Roman" w:hAnsi="Times New Roman"/>
          <w:color w:val="000000"/>
          <w:sz w:val="20"/>
        </w:rPr>
        <w:t>”).</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RECITALS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WHEREAS, </w:t>
      </w:r>
      <w:r>
        <w:rPr>
          <w:rFonts w:ascii="Times New Roman" w:hAnsi="Times New Roman"/>
          <w:color w:val="000000"/>
          <w:sz w:val="20"/>
        </w:rPr>
        <w:t>the Company maintains the BioAtla, Inc. 2020 Equity Incentive Plan (as it may be amended and/or restated from time to time, the “</w:t>
      </w:r>
      <w:r>
        <w:rPr>
          <w:rFonts w:ascii="Times New Roman" w:hAnsi="Times New Roman"/>
          <w:b/>
          <w:i/>
          <w:color w:val="000000"/>
          <w:sz w:val="20"/>
        </w:rPr>
        <w:t>Plan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WHEREAS, </w:t>
      </w:r>
      <w:r>
        <w:rPr>
          <w:rFonts w:ascii="Times New Roman" w:hAnsi="Times New Roman"/>
          <w:color w:val="000000"/>
          <w:sz w:val="20"/>
        </w:rPr>
        <w:t>the Plan permits the Company to award options to purchase shares of the Company’s common stock, $0.0001 par value per share (“</w:t>
      </w:r>
      <w:r>
        <w:rPr>
          <w:rFonts w:ascii="Times New Roman" w:hAnsi="Times New Roman"/>
          <w:b/>
          <w:i/>
          <w:color w:val="000000"/>
          <w:sz w:val="20"/>
        </w:rPr>
        <w:t>Shares</w:t>
      </w:r>
      <w:r>
        <w:rPr>
          <w:rFonts w:ascii="Times New Roman" w:hAnsi="Times New Roman"/>
          <w:color w:val="000000"/>
          <w:sz w:val="20"/>
        </w:rPr>
        <w:t>”), subject to the terms of the Plan; and</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Company desires to grant an option to purchase Shares to the Grantee in accordance with the terms of this award agreement (this “</w:t>
      </w:r>
      <w:r>
        <w:rPr>
          <w:rFonts w:ascii="Times New Roman" w:hAnsi="Times New Roman"/>
          <w:b/>
          <w:i/>
          <w:color w:val="000000"/>
          <w:sz w:val="20"/>
        </w:rPr>
        <w:t>Agreement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NOW, THEREFORE, </w:t>
      </w:r>
      <w:r>
        <w:rPr>
          <w:rFonts w:ascii="Times New Roman" w:hAnsi="Times New Roman"/>
          <w:color w:val="000000"/>
          <w:sz w:val="20"/>
        </w:rPr>
        <w:t>in consideration of the foregoing and the agreements set forth herein, the parties, intending to be legally bound hereby, agree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1.</w:t>
      </w:r>
    </w:p>
    <w:p>
      <w:pPr>
        <w:pStyle w:val="TextBody"/>
        <w:bidi w:val="0"/>
        <w:spacing w:before="0" w:after="240"/>
        <w:jc w:val="both"/>
        <w:rPr/>
      </w:pPr>
      <w:r>
        <w:rPr>
          <w:rFonts w:ascii="Times New Roman" w:hAnsi="Times New Roman"/>
          <w:color w:val="000000"/>
          <w:sz w:val="20"/>
          <w:u w:val="single"/>
        </w:rPr>
        <w:t>Grant of Option</w:t>
      </w:r>
      <w:r>
        <w:rPr>
          <w:rFonts w:ascii="Times New Roman" w:hAnsi="Times New Roman"/>
          <w:color w:val="000000"/>
          <w:sz w:val="20"/>
        </w:rPr>
        <w:t xml:space="preserve">. Effective as of </w:t>
      </w:r>
      <w:r>
        <w:rPr>
          <w:rFonts w:ascii="Times New Roman" w:hAnsi="Times New Roman"/>
          <w:b/>
          <w:i/>
          <w:color w:val="000000"/>
          <w:sz w:val="20"/>
        </w:rPr>
        <w:t>____________</w:t>
      </w:r>
      <w:r>
        <w:rPr>
          <w:color w:val="000000"/>
        </w:rPr>
        <w:t xml:space="preserve"> </w:t>
      </w:r>
      <w:r>
        <w:rPr>
          <w:rFonts w:ascii="Times New Roman" w:hAnsi="Times New Roman"/>
          <w:color w:val="000000"/>
          <w:sz w:val="20"/>
        </w:rPr>
        <w:t>(the “</w:t>
      </w:r>
      <w:r>
        <w:rPr>
          <w:rFonts w:ascii="Times New Roman" w:hAnsi="Times New Roman"/>
          <w:b/>
          <w:i/>
          <w:color w:val="000000"/>
          <w:sz w:val="20"/>
        </w:rPr>
        <w:t>Date of Grant</w:t>
      </w:r>
      <w:r>
        <w:rPr>
          <w:color w:val="000000"/>
        </w:rPr>
        <w:t>”</w:t>
      </w:r>
      <w:r>
        <w:rPr>
          <w:rFonts w:ascii="Times New Roman" w:hAnsi="Times New Roman"/>
          <w:color w:val="000000"/>
          <w:sz w:val="20"/>
        </w:rPr>
        <w:t xml:space="preserve">), the Company grants to the Grantee, pursuant to the Plan and the terms and conditions of this Agreement, an option to purchase </w:t>
      </w:r>
      <w:r>
        <w:rPr>
          <w:rFonts w:ascii="Times New Roman" w:hAnsi="Times New Roman"/>
          <w:b/>
          <w:i/>
          <w:color w:val="000000"/>
          <w:sz w:val="20"/>
        </w:rPr>
        <w:t>__________</w:t>
      </w:r>
      <w:r>
        <w:rPr>
          <w:color w:val="000000"/>
        </w:rPr>
        <w:t xml:space="preserve"> </w:t>
      </w:r>
      <w:r>
        <w:rPr>
          <w:rFonts w:ascii="Times New Roman" w:hAnsi="Times New Roman"/>
          <w:color w:val="000000"/>
          <w:sz w:val="20"/>
        </w:rPr>
        <w:t xml:space="preserve">Shares at an exercise price per Share equal to </w:t>
      </w:r>
      <w:r>
        <w:rPr>
          <w:rFonts w:ascii="Times New Roman" w:hAnsi="Times New Roman"/>
          <w:b/>
          <w:i/>
          <w:color w:val="000000"/>
          <w:sz w:val="20"/>
        </w:rPr>
        <w:t>____________</w:t>
      </w:r>
      <w:r>
        <w:rPr>
          <w:color w:val="000000"/>
        </w:rPr>
        <w:t xml:space="preserve"> </w:t>
      </w:r>
      <w:r>
        <w:rPr>
          <w:rFonts w:ascii="Times New Roman" w:hAnsi="Times New Roman"/>
          <w:color w:val="000000"/>
          <w:sz w:val="20"/>
        </w:rPr>
        <w:t>(</w:t>
      </w:r>
      <w:r>
        <w:rPr>
          <w:rFonts w:ascii="Times New Roman" w:hAnsi="Times New Roman"/>
          <w:b/>
          <w:i/>
          <w:color w:val="000000"/>
          <w:sz w:val="20"/>
        </w:rPr>
        <w:t>Option</w:t>
      </w:r>
      <w:r>
        <w:rPr>
          <w:color w:val="000000"/>
        </w:rPr>
        <w:t>”</w:t>
      </w:r>
      <w:r>
        <w:rPr>
          <w:rFonts w:ascii="Times New Roman" w:hAnsi="Times New Roman"/>
          <w:color w:val="000000"/>
          <w:sz w:val="20"/>
        </w:rPr>
        <w:t xml:space="preserve">). The Option is not, and is not intended to be, an Incentive Stock Option under Section 422 of the Code.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2.</w:t>
      </w:r>
    </w:p>
    <w:p>
      <w:pPr>
        <w:pStyle w:val="TextBody"/>
        <w:bidi w:val="0"/>
        <w:spacing w:before="240" w:after="240"/>
        <w:jc w:val="both"/>
        <w:rPr/>
      </w:pPr>
      <w:r>
        <w:rPr>
          <w:rFonts w:ascii="Times New Roman" w:hAnsi="Times New Roman"/>
          <w:color w:val="000000"/>
          <w:sz w:val="20"/>
          <w:u w:val="single"/>
        </w:rPr>
        <w:t>Term of Option</w:t>
      </w:r>
      <w:r>
        <w:rPr>
          <w:rFonts w:ascii="Times New Roman" w:hAnsi="Times New Roman"/>
          <w:color w:val="000000"/>
          <w:sz w:val="20"/>
        </w:rPr>
        <w:t>. Unless earlier terminated pursuant to the Plan or the other provisions of this Agreement, the Option shall terminate at 5 p.m. Pacific time on the 10</w:t>
      </w:r>
      <w:r>
        <w:rPr>
          <w:rFonts w:ascii="Times New Roman" w:hAnsi="Times New Roman"/>
          <w:color w:val="000000"/>
          <w:sz w:val="13"/>
        </w:rPr>
        <w:t>th</w:t>
      </w:r>
      <w:r>
        <w:rPr>
          <w:color w:val="000000"/>
        </w:rPr>
        <w:t xml:space="preserve"> </w:t>
      </w:r>
      <w:r>
        <w:rPr>
          <w:rFonts w:ascii="Times New Roman" w:hAnsi="Times New Roman"/>
          <w:color w:val="000000"/>
          <w:sz w:val="20"/>
        </w:rPr>
        <w:t>anniversary of the Date of Grant (the “</w:t>
      </w:r>
      <w:r>
        <w:rPr>
          <w:rFonts w:ascii="Times New Roman" w:hAnsi="Times New Roman"/>
          <w:b/>
          <w:i/>
          <w:color w:val="000000"/>
          <w:sz w:val="20"/>
        </w:rPr>
        <w:t>Expiration Date</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Except as otherwise provided in Section 7.2 of the Plan or as provided in </w:t>
      </w:r>
      <w:r>
        <w:rPr>
          <w:rFonts w:ascii="Times New Roman" w:hAnsi="Times New Roman"/>
          <w:b/>
          <w:i/>
          <w:color w:val="000000"/>
          <w:sz w:val="20"/>
        </w:rPr>
        <w:t>[third-party administrative platform]</w:t>
      </w:r>
      <w:r>
        <w:rPr>
          <w:rFonts w:ascii="Times New Roman" w:hAnsi="Times New Roman"/>
          <w:color w:val="000000"/>
          <w:sz w:val="20"/>
        </w:rPr>
        <w:t>, upon the Grantee ceasing to provide services to the Company or its Subsidiaries for any reason whatsoever, the Option shall terminate as to that number of Shares as to which the Option is not vested at the time of such cessation, without any compensation or other payment due to the Grantee or any other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Grantee’s services to the Company and any of its Subsidiaries are terminated for Cause, then the unexercised portion of the Option (whether or not vested) will terminate immediately upon such termination, without any compensation or other payment due to the Grantee or any other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Except as otherwise provided in Section 7.2 of the Plan, if the Grantee’s services to the Company and its Subsidiaries terminates for any reason other than Cause, death or Disability, then the Option may be exercised to the extent vested at the time of such termination at any time prior to the earlier of the Expiration Date and 90 days after such termination, and any part of the Option which is not exercised within such period shall terminate at the end of such period without any compensation or other payment due to the Grantee or any other Person. Except as otherwise provided in Section 7.2 of the Plan, if the Grantee’s services to the Company and its Subsidiaries terminates by reason of his or her death or Disability, then the Option may be exercised, as to the number of whole Shares with respect to which the Option is vested and exercisable at the time of such death or Disability, at any time prior to the earlier of the Expiration Date and twelve (12) months after such termination, and any part of the Option which is not exercised within such period shall terminate at the end of such period without any compensation or other payment due to the Grantee or any other Person.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Committee, in its absolute discretion, shall determine the effect of all matters and questions relating to termination of the Grantee’s services, including, but not by way of limitation, the question of whether a termination of the Grantee’s services resulted from Cause.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3.</w:t>
      </w:r>
    </w:p>
    <w:p>
      <w:pPr>
        <w:pStyle w:val="TextBody"/>
        <w:bidi w:val="0"/>
        <w:spacing w:before="240" w:after="240"/>
        <w:jc w:val="both"/>
        <w:rPr/>
      </w:pPr>
      <w:r>
        <w:rPr>
          <w:rFonts w:ascii="Times New Roman" w:hAnsi="Times New Roman"/>
          <w:color w:val="000000"/>
          <w:sz w:val="20"/>
          <w:u w:val="single"/>
        </w:rPr>
        <w:t>Vesting</w:t>
      </w:r>
      <w:r>
        <w:rPr>
          <w:rFonts w:ascii="Times New Roman" w:hAnsi="Times New Roman"/>
          <w:color w:val="000000"/>
          <w:sz w:val="20"/>
        </w:rPr>
        <w:t xml:space="preserve">. The Option shall vest and become exercisable as shown in </w:t>
      </w:r>
      <w:r>
        <w:rPr>
          <w:rFonts w:ascii="Times New Roman" w:hAnsi="Times New Roman"/>
          <w:b/>
          <w:i/>
          <w:color w:val="000000"/>
          <w:sz w:val="20"/>
        </w:rPr>
        <w:t>[third-party administrative platform]</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Section 4.</w:t>
      </w:r>
    </w:p>
    <w:p>
      <w:pPr>
        <w:pStyle w:val="TextBody"/>
        <w:bidi w:val="0"/>
        <w:spacing w:before="240" w:after="240"/>
        <w:jc w:val="left"/>
        <w:rPr/>
      </w:pPr>
      <w:r>
        <w:rPr>
          <w:rFonts w:ascii="Times New Roman" w:hAnsi="Times New Roman"/>
          <w:color w:val="000000"/>
          <w:sz w:val="20"/>
          <w:u w:val="single"/>
        </w:rPr>
        <w:t>Manner of Exercise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exercise the Option, the Grantee shall comply with such procedures for exercise as the Committee shall have adopted, as may be in effect from time to time. Payment of the exercise price shall be (i) in cash or (ii) through a broker-assisted cashless exercise or (iii) a combination of (i) and (ii), as elected by the Grantee. Any exercise of the Option is conditioned on Grantee’s payment to the Company in full of the aggregate exercise price (as described in the preceding sentence) of the portion of the Option being exercised, plus the amount of the withholding taxes, if any, determined by the Company to be due upon the purchase of such number of Shares.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date on which the Company receives the notice of exercise accompanied by payment in full of the exercise price for the Shares covered by the notice and the applicable withholding taxes, if any, shall be the date as of which the Shares shall be deemed to have been issued.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exercise the Option following the Grantee’s death, the Persons who acquire the right to exercise the Option must prove to the Committee’s satisfaction that they have duly acquired the Option and that they have paid (or have provided for payment of) any taxes, such as estate, transfer, inheritance or death taxes, payable with respect to the Option or the Shares to which it relates, in addition to satisfying the other terms and conditions set forth in this Agreement.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5.</w:t>
      </w:r>
    </w:p>
    <w:p>
      <w:pPr>
        <w:pStyle w:val="TextBody"/>
        <w:bidi w:val="0"/>
        <w:spacing w:before="240" w:after="240"/>
        <w:jc w:val="both"/>
        <w:rPr/>
      </w:pPr>
      <w:r>
        <w:rPr>
          <w:rFonts w:ascii="Times New Roman" w:hAnsi="Times New Roman"/>
          <w:color w:val="000000"/>
          <w:sz w:val="20"/>
          <w:u w:val="single"/>
        </w:rPr>
        <w:t>Transferability</w:t>
      </w:r>
      <w:r>
        <w:rPr>
          <w:rFonts w:ascii="Times New Roman" w:hAnsi="Times New Roman"/>
          <w:color w:val="000000"/>
          <w:sz w:val="20"/>
        </w:rPr>
        <w:t>. The Option may only be transferred in accordance with Section 12 of the Plan.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6.</w:t>
      </w:r>
    </w:p>
    <w:p>
      <w:pPr>
        <w:pStyle w:val="TextBody"/>
        <w:bidi w:val="0"/>
        <w:spacing w:before="240" w:after="240"/>
        <w:jc w:val="both"/>
        <w:rPr/>
      </w:pPr>
      <w:r>
        <w:rPr>
          <w:rFonts w:ascii="Times New Roman" w:hAnsi="Times New Roman"/>
          <w:color w:val="000000"/>
          <w:sz w:val="20"/>
          <w:u w:val="single"/>
        </w:rPr>
        <w:t>Taxes</w:t>
      </w:r>
      <w:r>
        <w:rPr>
          <w:rFonts w:ascii="Times New Roman" w:hAnsi="Times New Roman"/>
          <w:color w:val="000000"/>
          <w:sz w:val="20"/>
        </w:rPr>
        <w:t>. The Grantee shall be responsible for all tax consequences in connection with the Option (including any applicable withholding taxes). Such responsibility shall extend to all applicable federal, state, local and foreign withholding taxes. The Grantee shall satisfy any withholding taxes with respect to the Option in the same manner set forth in Section 4 with respect to the payment of the exercise price of the Option.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7.</w:t>
      </w:r>
    </w:p>
    <w:p>
      <w:pPr>
        <w:pStyle w:val="TextBody"/>
        <w:bidi w:val="0"/>
        <w:spacing w:before="240" w:after="240"/>
        <w:jc w:val="both"/>
        <w:rPr/>
      </w:pPr>
      <w:r>
        <w:rPr>
          <w:rFonts w:ascii="Times New Roman" w:hAnsi="Times New Roman"/>
          <w:color w:val="000000"/>
          <w:sz w:val="20"/>
          <w:u w:val="single"/>
        </w:rPr>
        <w:t>The Plan</w:t>
      </w:r>
      <w:r>
        <w:rPr>
          <w:rFonts w:ascii="Times New Roman" w:hAnsi="Times New Roman"/>
          <w:color w:val="000000"/>
          <w:sz w:val="20"/>
        </w:rPr>
        <w:t>. The Grantee has received a copy of the Plan, has read the Plan and is familiar with its terms, and hereby accepts the Option subject to all of the terms and provisions of the Plan and this Agreement. The Option is subject to all of the terms and provisions of the Plan, all of which are incorporated by reference. Pursuant to the Plan, the Committee is authorized to interpret the Plan and to adopt rules and regulations not inconsistent with the Plan as it deems appropriate. The Grantee hereby agrees to accept as binding, conclusive and final all decisions and interpretations of the Committee with respect to the Plan, this Agreement, the Option and any agreement relating to the Option. In the event of a conflict between the terms of the Plan and the terms of this Agreement, the terms of the Plan shall control.</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8.</w:t>
      </w:r>
    </w:p>
    <w:p>
      <w:pPr>
        <w:pStyle w:val="TextBody"/>
        <w:bidi w:val="0"/>
        <w:spacing w:before="240" w:after="240"/>
        <w:jc w:val="both"/>
        <w:rPr/>
      </w:pPr>
      <w:r>
        <w:rPr>
          <w:rFonts w:ascii="Times New Roman" w:hAnsi="Times New Roman"/>
          <w:color w:val="000000"/>
          <w:sz w:val="20"/>
          <w:u w:val="single"/>
        </w:rPr>
        <w:t>Rights in Shares Before Issuance and Delivery</w:t>
      </w:r>
      <w:r>
        <w:rPr>
          <w:rFonts w:ascii="Times New Roman" w:hAnsi="Times New Roman"/>
          <w:color w:val="000000"/>
          <w:sz w:val="20"/>
        </w:rPr>
        <w:t>. The Grantee shall not have any rights as a stockholder of the Company with respect to the Shares underlying the Option unless and until the Option has been exercised and such Shares have been issued to the Grantee as fully paid Shares. No adjustment shall be made for dividends, distributions, or other rights for which the record date is prior to the date the Shares are issued, except as provided in Section 8 of the Plan.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9.</w:t>
      </w:r>
    </w:p>
    <w:p>
      <w:pPr>
        <w:pStyle w:val="TextBody"/>
        <w:bidi w:val="0"/>
        <w:spacing w:before="240" w:after="240"/>
        <w:jc w:val="both"/>
        <w:rPr/>
      </w:pPr>
      <w:r>
        <w:rPr>
          <w:rFonts w:ascii="Times New Roman" w:hAnsi="Times New Roman"/>
          <w:color w:val="000000"/>
          <w:sz w:val="20"/>
          <w:u w:val="single"/>
        </w:rPr>
        <w:t>No Promise of Service</w:t>
      </w:r>
      <w:r>
        <w:rPr>
          <w:rFonts w:ascii="Times New Roman" w:hAnsi="Times New Roman"/>
          <w:color w:val="000000"/>
          <w:sz w:val="20"/>
        </w:rPr>
        <w:t>. Neither the Plan nor the granting, holding, vesting or exercise of the Option will confer upon the Grantee any right to continue in the service of the Company or any Subsidiary in any capacity, or limit, in any respect, the right of the Company or any Subsidiary to terminate the Grantee at any time, for any reason and with or without notice.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10.</w:t>
      </w:r>
    </w:p>
    <w:p>
      <w:pPr>
        <w:pStyle w:val="TextBody"/>
        <w:bidi w:val="0"/>
        <w:spacing w:before="240" w:after="240"/>
        <w:jc w:val="both"/>
        <w:rPr/>
      </w:pPr>
      <w:r>
        <w:rPr>
          <w:rFonts w:ascii="Times New Roman" w:hAnsi="Times New Roman"/>
          <w:color w:val="000000"/>
          <w:sz w:val="20"/>
          <w:u w:val="single"/>
        </w:rPr>
        <w:t>Qualifications to Exercise</w:t>
      </w:r>
      <w:r>
        <w:rPr>
          <w:rFonts w:ascii="Times New Roman" w:hAnsi="Times New Roman"/>
          <w:color w:val="000000"/>
          <w:sz w:val="20"/>
        </w:rPr>
        <w:t>. Notwithstanding anything in this Agreement or in the Plan to the contrary, in no event may the Option be exercisable if the Company shall, at any time and in its sole discretion, determine that (a) the listing, registration or qualification of any Shares otherwise deliverable upon such exercise is required upon any securities exchange or under any state, federal, or foreign law, or (b) the consent or approval of any regulatory body is necessary or desirable in connection with such exercise. In such event, such exercise shall be held in abeyance and shall not be effective unless and until such listing, registration, qualification or approval shall have been effected or obtained free of any conditions not acceptable to the Company (regardless of any termination of the Option prior to such listing, registration, qualification or approval).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 requisite authority shall not have been obtained. The Company shall not be required to issue fractional Shares upon the exercise of the Option.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11.</w:t>
      </w:r>
    </w:p>
    <w:p>
      <w:pPr>
        <w:pStyle w:val="TextBody"/>
        <w:bidi w:val="0"/>
        <w:spacing w:before="240" w:after="240"/>
        <w:jc w:val="both"/>
        <w:rPr/>
      </w:pPr>
      <w:r>
        <w:rPr>
          <w:rFonts w:ascii="Times New Roman" w:hAnsi="Times New Roman"/>
          <w:color w:val="000000"/>
          <w:sz w:val="20"/>
          <w:u w:val="single"/>
        </w:rPr>
        <w:t>Conditions to Transfer</w:t>
      </w:r>
      <w:r>
        <w:rPr>
          <w:rFonts w:ascii="Times New Roman" w:hAnsi="Times New Roman"/>
          <w:color w:val="000000"/>
          <w:sz w:val="20"/>
        </w:rPr>
        <w:t>. As a condition to the exercise of the Option, the Company may require the Grantee to satisfy any qualifications that may be necessary or appropriate, to evidence compliance with any applicable law or regulation and to make any representation or warranty with respect thereto as may be requested by the Company. The certificate issued to evidence such Shares, if any, may bear appropriate legends summarizing these restrictions.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12.</w:t>
      </w:r>
    </w:p>
    <w:p>
      <w:pPr>
        <w:pStyle w:val="TextBody"/>
        <w:bidi w:val="0"/>
        <w:spacing w:before="240" w:after="240"/>
        <w:jc w:val="both"/>
        <w:rPr/>
      </w:pPr>
      <w:r>
        <w:rPr>
          <w:rFonts w:ascii="Times New Roman" w:hAnsi="Times New Roman"/>
          <w:color w:val="000000"/>
          <w:sz w:val="20"/>
          <w:u w:val="single"/>
        </w:rPr>
        <w:t>Investment Representation</w:t>
      </w:r>
      <w:r>
        <w:rPr>
          <w:rFonts w:ascii="Times New Roman" w:hAnsi="Times New Roman"/>
          <w:color w:val="000000"/>
          <w:sz w:val="20"/>
        </w:rPr>
        <w:t>. The Grantee hereby represents and warrants to the Company that the Grantee, by reason of the Grantee’s business or financial experience (or the business or financial experience of the Grantee’s professional advisors who are unaffiliated with and who are not compensated by the Company or any affiliate or selling agent of the Company, directly or indirectly), has the capacity to protect the Grantee’s own interests in connection with the transactions contemplated under this Agreement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13.</w:t>
      </w:r>
    </w:p>
    <w:p>
      <w:pPr>
        <w:pStyle w:val="TextBody"/>
        <w:bidi w:val="0"/>
        <w:spacing w:before="240" w:after="240"/>
        <w:jc w:val="both"/>
        <w:rPr/>
      </w:pPr>
      <w:r>
        <w:rPr>
          <w:rFonts w:ascii="Times New Roman" w:hAnsi="Times New Roman"/>
          <w:color w:val="000000"/>
          <w:sz w:val="20"/>
          <w:u w:val="single"/>
        </w:rPr>
        <w:t>Entire Agreement</w:t>
      </w:r>
      <w:r>
        <w:rPr>
          <w:rFonts w:ascii="Times New Roman" w:hAnsi="Times New Roman"/>
          <w:color w:val="000000"/>
          <w:sz w:val="20"/>
        </w:rPr>
        <w:t>. This Agreement, together with the Plan, represents the entire agreement between the parties hereto relating to the subject matter hereof, and merges and supersedes all prior and contemporaneous discussions, agreements and understandings of every nature relating to the award of the Option to the Grantee by the Company.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14.</w:t>
      </w:r>
    </w:p>
    <w:p>
      <w:pPr>
        <w:pStyle w:val="TextBody"/>
        <w:bidi w:val="0"/>
        <w:spacing w:before="240" w:after="240"/>
        <w:jc w:val="both"/>
        <w:rPr/>
      </w:pPr>
      <w:r>
        <w:rPr>
          <w:rFonts w:ascii="Times New Roman" w:hAnsi="Times New Roman"/>
          <w:color w:val="000000"/>
          <w:sz w:val="20"/>
          <w:u w:val="single"/>
        </w:rPr>
        <w:t>Administration</w:t>
      </w:r>
      <w:r>
        <w:rPr>
          <w:rFonts w:ascii="Times New Roman" w:hAnsi="Times New Roman"/>
          <w:color w:val="000000"/>
          <w:sz w:val="20"/>
        </w:rPr>
        <w:t>. All questions of interpretation concerning this Agreement, the Plan, or any other agreement or document employed by the Company in the administration of the Plan or the Option shall be determined by the Committee. All such determinations by the Committee shall be final, binding, and conclusive upon all Persons having an interest in the Option. In addition, all other actions, decisions, and determinations taken or made by the Committee in the exercise of its discretion pursuant to the Plan, this Agreement or the Option or any other agreement or document relating thereto or hereto shall be final, binding and conclusive upon all Persons having an interest in this Agreement or the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15.</w:t>
      </w:r>
    </w:p>
    <w:p>
      <w:pPr>
        <w:pStyle w:val="TextBody"/>
        <w:bidi w:val="0"/>
        <w:spacing w:before="0" w:after="240"/>
        <w:jc w:val="both"/>
        <w:rPr/>
      </w:pPr>
      <w:r>
        <w:rPr>
          <w:rFonts w:ascii="Times New Roman" w:hAnsi="Times New Roman"/>
          <w:color w:val="000000"/>
          <w:sz w:val="20"/>
          <w:u w:val="single"/>
        </w:rPr>
        <w:t>Binding Effect</w:t>
      </w:r>
      <w:r>
        <w:rPr>
          <w:rFonts w:ascii="Times New Roman" w:hAnsi="Times New Roman"/>
          <w:color w:val="000000"/>
          <w:sz w:val="20"/>
        </w:rPr>
        <w:t>. This Agreement shall be binding upon and inure to the benefit of the Company and its successors and assigns and upon the Grantee and his or her permitted transferees, heirs, executors, administrators and legal representatives.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16.</w:t>
      </w:r>
    </w:p>
    <w:p>
      <w:pPr>
        <w:pStyle w:val="TextBody"/>
        <w:bidi w:val="0"/>
        <w:spacing w:before="240" w:after="240"/>
        <w:jc w:val="both"/>
        <w:rPr/>
      </w:pPr>
      <w:r>
        <w:rPr>
          <w:rFonts w:ascii="Times New Roman" w:hAnsi="Times New Roman"/>
          <w:color w:val="000000"/>
          <w:sz w:val="20"/>
          <w:u w:val="single"/>
        </w:rPr>
        <w:t>Further Instruments</w:t>
      </w:r>
      <w:r>
        <w:rPr>
          <w:rFonts w:ascii="Times New Roman" w:hAnsi="Times New Roman"/>
          <w:color w:val="000000"/>
          <w:sz w:val="20"/>
        </w:rPr>
        <w:t>. The parties to this Agreement agree to execute such further instruments and to take such further action as may reasonably be necessary to carry out the intent of this Agreement.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17.</w:t>
      </w:r>
    </w:p>
    <w:p>
      <w:pPr>
        <w:pStyle w:val="TextBody"/>
        <w:bidi w:val="0"/>
        <w:spacing w:before="240" w:after="240"/>
        <w:jc w:val="both"/>
        <w:rPr/>
      </w:pPr>
      <w:r>
        <w:rPr>
          <w:rFonts w:ascii="Times New Roman" w:hAnsi="Times New Roman"/>
          <w:color w:val="000000"/>
          <w:sz w:val="20"/>
          <w:u w:val="single"/>
        </w:rPr>
        <w:t>Amendment; Termination; Waiver</w:t>
      </w:r>
      <w:r>
        <w:rPr>
          <w:rFonts w:ascii="Times New Roman" w:hAnsi="Times New Roman"/>
          <w:color w:val="000000"/>
          <w:sz w:val="20"/>
        </w:rPr>
        <w:t>. Except as otherwise provided in the Plan, this Agreement may be amended or terminated, and its terms or covenants waived, only by a written instrument executed on behalf of the Company (as authorized by the Committee) and the Grantee that, in the case of an amendment or waiver, identifies the specific provision of this Agreement being amended or waived.</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18.</w:t>
      </w:r>
    </w:p>
    <w:p>
      <w:pPr>
        <w:pStyle w:val="TextBody"/>
        <w:bidi w:val="0"/>
        <w:spacing w:before="240" w:after="240"/>
        <w:jc w:val="both"/>
        <w:rPr/>
      </w:pPr>
      <w:r>
        <w:rPr>
          <w:rFonts w:ascii="Times New Roman" w:hAnsi="Times New Roman"/>
          <w:color w:val="000000"/>
          <w:sz w:val="20"/>
          <w:u w:val="single"/>
        </w:rPr>
        <w:t>Delivery of Documents and Notices</w:t>
      </w:r>
      <w:r>
        <w:rPr>
          <w:rFonts w:ascii="Times New Roman" w:hAnsi="Times New Roman"/>
          <w:color w:val="000000"/>
          <w:sz w:val="20"/>
        </w:rPr>
        <w:t xml:space="preserve">. Unless otherwise specified by the Grantee in writing, all documents relating to the Plan (including, without limitation, the Plan, this Agreement, the Plan prospectus and any reports of the Company provided generally to the Company’s stockholders) may be delivered to the Grantee electronically. Such means of electronic delivery may include the delivery of a link to a Company intranet or the internet site of a third party involved in administering the Plan, the delivery of the document via e-mail or other means of electronic delivery specified by the Company.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Grantee acknowledges that the Grantee has read this Section 18 and consents to the electronic delivery of the Plan documents. The Grantee acknowledges that he or she may request from the Company a paper copy of any documents delivered electronically at no cost to the Grantee by contacting the Company by telephone or in writing. The Grantee further acknowledges that the Grantee will be provided with a paper copy of any documents if the attempted electronic delivery of such documents fails. Similarly, the Grantee understands that the Grantee must provide the Company or any designated third-party administrator with a paper copy of any documents if the Grantee’s attempted electronic delivery of such documents fails. The Grantee may revoke his or her consent to the electronic delivery of documents described in this Section or may change the electronic mail address to which such documents are to be delivered (if Grantee has provided an electronic mail address) at any time by notifying the Company of such revoked consent or revised e-mail address by postal service or electronic mail. The Grantee understands that he or she is not required to consent to electronic delivery of documents described in this Section 18.</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19.</w:t>
      </w:r>
    </w:p>
    <w:p>
      <w:pPr>
        <w:pStyle w:val="TextBody"/>
        <w:bidi w:val="0"/>
        <w:spacing w:before="240" w:after="240"/>
        <w:jc w:val="both"/>
        <w:rPr/>
      </w:pPr>
      <w:r>
        <w:rPr>
          <w:rFonts w:ascii="Times New Roman" w:hAnsi="Times New Roman"/>
          <w:color w:val="000000"/>
          <w:sz w:val="20"/>
          <w:u w:val="single"/>
        </w:rPr>
        <w:t>Governing Law</w:t>
      </w:r>
      <w:r>
        <w:rPr>
          <w:rFonts w:ascii="Times New Roman" w:hAnsi="Times New Roman"/>
          <w:color w:val="000000"/>
          <w:sz w:val="20"/>
        </w:rPr>
        <w:t>. This Agreement shall be construed and enforced in accordance with the laws of the State of Delaware, without giving effect to the principles of conflicts of law thereof.</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20.</w:t>
      </w:r>
    </w:p>
    <w:p>
      <w:pPr>
        <w:pStyle w:val="TextBody"/>
        <w:bidi w:val="0"/>
        <w:spacing w:before="240" w:after="240"/>
        <w:jc w:val="both"/>
        <w:rPr/>
      </w:pPr>
      <w:r>
        <w:rPr>
          <w:rFonts w:ascii="Times New Roman" w:hAnsi="Times New Roman"/>
          <w:b/>
          <w:color w:val="000000"/>
          <w:sz w:val="20"/>
          <w:u w:val="single"/>
        </w:rPr>
        <w:t>JURISDICTION; WAIVER OF JURY TRIAL</w:t>
      </w:r>
      <w:r>
        <w:rPr>
          <w:rFonts w:ascii="Times New Roman" w:hAnsi="Times New Roman"/>
          <w:b/>
          <w:color w:val="000000"/>
          <w:sz w:val="20"/>
        </w:rPr>
        <w:t>.</w:t>
      </w:r>
      <w:r>
        <w:rPr>
          <w:color w:val="000000"/>
        </w:rPr>
        <w:t xml:space="preserve"> </w:t>
      </w:r>
      <w:r>
        <w:rPr>
          <w:rFonts w:ascii="Times New Roman" w:hAnsi="Times New Roman"/>
          <w:b/>
          <w:color w:val="000000"/>
          <w:sz w:val="20"/>
        </w:rPr>
        <w:t>BY ENTERING INTO THIS AGREEMENT, THE COMPANY AND THE GRANTEE IRREVOCABLY SUBMIT TO AND ACCEPT GENERALLY AND UNCONDITIONALLY THE EXCLUSIVE JURISDICTION OF THE FEDERAL COURTS LOCATED IN SAN DIEGO COUNTY (OR IF FEDERAL JURISDICTION DOES NOT EXIST, IN THE STATE COURTS LOCATED THEREIN) WITH RESPECT TO ALL DISPUTES RELATING TO THIS AGREEMENT, THE OPTION OR THE PLAN. THE COMPANY AND THE GRANTEE HEREBY ACCEPT SERVICE OF PROCESS PURSUANT TO THE LAWS OF THE STATE OF CALIFORNIA AND THE RULES OF ITS COURTS, WAIVE ANY DEFENSE OF FORUM NON CONVENIENS AND AGREE TO BE BOUND BY ANY JUDGMENT RENDERED BY SUCH COURTS ARISING OUT OF, RELATED TO, OR IN CONNECTION WITH, THIS AGREEMENT, THE OPTION OR THE PLAN.</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THE COMPANY AND THE GRANTEE IRREVOCABLY WAIVE ANY AND ALL RIGHT TO TRIAL BY JURY IN ANY LEGAL PROCEEDING ARISING OUT OF, RELATING TO, OR IN CONNECTION WITH THIS AGREEMENT, THE OPTION OR THE PLAN.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21.</w:t>
      </w:r>
    </w:p>
    <w:p>
      <w:pPr>
        <w:pStyle w:val="TextBody"/>
        <w:bidi w:val="0"/>
        <w:spacing w:before="240" w:after="240"/>
        <w:jc w:val="both"/>
        <w:rPr/>
      </w:pPr>
      <w:r>
        <w:rPr>
          <w:rFonts w:ascii="Times New Roman" w:hAnsi="Times New Roman"/>
          <w:color w:val="000000"/>
          <w:sz w:val="20"/>
          <w:u w:val="single"/>
        </w:rPr>
        <w:t>Severability</w:t>
      </w:r>
      <w:r>
        <w:rPr>
          <w:rFonts w:ascii="Times New Roman" w:hAnsi="Times New Roman"/>
          <w:color w:val="000000"/>
          <w:sz w:val="20"/>
        </w:rPr>
        <w:t>. All provisions of this Agreement are distinct and severable and if any clause shall be held to be invalid, illegal or against public policy, the validity or the legality of the remainder of this Agreement shall not be affected thereby, and the remainder of this Agreement shall be interpreted to give maximum effect to the original intention of the parties hereto.</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22.</w:t>
      </w:r>
    </w:p>
    <w:p>
      <w:pPr>
        <w:pStyle w:val="TextBody"/>
        <w:bidi w:val="0"/>
        <w:spacing w:before="240" w:after="240"/>
        <w:jc w:val="both"/>
        <w:rPr/>
      </w:pPr>
      <w:r>
        <w:rPr>
          <w:rFonts w:ascii="Times New Roman" w:hAnsi="Times New Roman"/>
          <w:color w:val="000000"/>
          <w:sz w:val="20"/>
          <w:u w:val="single"/>
        </w:rPr>
        <w:t>Defined Terms/Construction</w:t>
      </w:r>
      <w:r>
        <w:rPr>
          <w:rFonts w:ascii="Times New Roman" w:hAnsi="Times New Roman"/>
          <w:color w:val="000000"/>
          <w:sz w:val="20"/>
        </w:rPr>
        <w:t xml:space="preserve">. Capitalized terms used in this Agreement and not otherwise defined in this Agreement have the meanings ascribed to them in the Plan. Captions and titles contained in this Agreement are for convenience only and shall not affect the meaning or interpretation of any provision of this Agreement. </w:t>
      </w:r>
    </w:p>
    <w:p>
      <w:pPr>
        <w:pStyle w:val="TextBody"/>
        <w:bidi w:val="0"/>
        <w:spacing w:before="0" w:after="24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23.</w:t>
      </w:r>
    </w:p>
    <w:p>
      <w:pPr>
        <w:pStyle w:val="TextBody"/>
        <w:bidi w:val="0"/>
        <w:spacing w:before="240" w:after="240"/>
        <w:jc w:val="both"/>
        <w:rPr/>
      </w:pPr>
      <w:r>
        <w:rPr>
          <w:rFonts w:ascii="Times New Roman" w:hAnsi="Times New Roman"/>
          <w:color w:val="000000"/>
          <w:sz w:val="20"/>
          <w:u w:val="single"/>
        </w:rPr>
        <w:t>Authorization to Release and Transfer Necessary Personal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Grantee hereby explicitly and unambiguously consents to the collection, use and transfer, in electronic or other form, of Grantee’s personal information as described in this Agreement by and among, as applicable, the Company and its Subsidiaries and affiliates for the exclusive purpose of implementing, administering and managing Grantee’s participation in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Grantee understands that the Company and its Subsidiaries may hold certain personal information about Grantee, including, but not limited to, Grantee’s name, home address and telephone number, date of birth, social security number (or any other social or national identification number), pay, nationality, job title, residency status, any Shares or directorships held in the Company, details of all Options or any other entitlement to Shares awarded, canceled, exercised, vested, unvested or outstanding (the “</w:t>
      </w:r>
      <w:r>
        <w:rPr>
          <w:rFonts w:ascii="Times New Roman" w:hAnsi="Times New Roman"/>
          <w:b/>
          <w:i/>
          <w:color w:val="000000"/>
          <w:sz w:val="20"/>
        </w:rPr>
        <w:t>Data</w:t>
      </w:r>
      <w:r>
        <w:rPr>
          <w:color w:val="000000"/>
        </w:rPr>
        <w:t>”</w:t>
      </w:r>
      <w:r>
        <w:rPr>
          <w:rFonts w:ascii="Times New Roman" w:hAnsi="Times New Roman"/>
          <w:color w:val="000000"/>
          <w:sz w:val="20"/>
        </w:rPr>
        <w:t xml:space="preserve">) for the purpose of implementing,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administering and managing Grantee’s participation in the Plan. Grantee understands that the Data may be transferred to the Company or any of its Subsidiaries or affiliates, or to any third parties assisting in the implementation, administration and management of the Plan, that these recipients may be located in Grantee’s country or elsewhere, including outside the European Economic Area, and that the recipient’s country may have different data privacy laws and protections than Grantee’s country. Grantee understands that Grantee may request a list with the names and addresses of any potential recipients of the Data by contacting the Company’s human resources representative. Grantee authorizes the recipients to receive, possess, use, retain and transfer the Data, in electronic or other form, for the sole purposes of implementing, administering and managing Grantee’s participation in the Plan, including any requisite transfer of such Data to a broker or other third party assisting with the administration of the Option under the Plan or with whom Shares acquired pursuant to the Option or cash from the sale of such Shares may be deposited. Furthermore, Grantee acknowledges and understands that the transfer of the Data to the Company or any of its Subsidiaries or affiliates, or to any third parties is necessary for Grantee’s participation in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Grantee understands that the Data will be held only as long as is necessary to implement, administer and manage Grantee’s participation in the Plan. Grantee understands that Grantee may, at any time, view the Data, request additional information about the storage and processing of the Data, require any necessary amendments to the Data or refuse or withdraw the consents herein by contacting the Company’s human resources representative in writing. Further, Grantee understands that Grantee is providing the consents herein on a purely voluntary basis. If Grantee does not consent, or if Grantee later seeks to revoke his or her consent, Grantee’s service and career with the Company and its Subsidiaries will not be affected; the only consequence of refusing or withdrawing Grantee’s consent is that the Company would not be able to grant Grantee Options or other equity awards, or administer or maintain such awards. Therefore, Grantee understands that refusing or withdrawing Grantee’s consent may affect Grantee’s ability to vest in or realize benefits from the Option and to participate in the Plan. For more information on the consequences of refusing to consent or withdrawal of consent, Grantee understands that he or she may contact the Company’s human resources representative.</w:t>
      </w:r>
    </w:p>
    <w:p>
      <w:pPr>
        <w:pStyle w:val="TextBody"/>
        <w:bidi w:val="0"/>
        <w:spacing w:before="0" w:after="24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24.</w:t>
      </w:r>
    </w:p>
    <w:p>
      <w:pPr>
        <w:pStyle w:val="TextBody"/>
        <w:bidi w:val="0"/>
        <w:spacing w:before="240" w:after="240"/>
        <w:jc w:val="both"/>
        <w:rPr/>
      </w:pPr>
      <w:r>
        <w:rPr>
          <w:rFonts w:ascii="Times New Roman" w:hAnsi="Times New Roman"/>
          <w:color w:val="000000"/>
          <w:sz w:val="20"/>
          <w:u w:val="single"/>
        </w:rPr>
        <w:t>No Entitlement for Claims for Compensation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Grantee’s rights, if any, in respect of or in connection with the Option or any other Award are derived solely from the discretionary decision of the Company to permit Grantee to participate in the Plan and to benefit from a discretionary Award. The Plan may be amended, suspended or terminated by the Company at any time, unless otherwise provided in the Plan and this Agreement. By accepting the Option, Grantee expressly acknowledges that there is no obligation on the part of the Company to continue the Plan and/or grant any additional Awards, even if Awards have been granted in the past. All decisions with respect to future grants of Awards, if any, will be at the sole discretion of the Committee.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Option is not intended to replace any pension rights or compensation and is not to be considered compensation or pay of a continuing or recurring nature, or part of Grantee’s normal or expected compensation, and in no way represents any portion of Grantee’s compensation or other remuneration for any purpose, including, but not limited to, calculating any severance, pension or other pay or benefit, and in no event should be considered as compensation or pay for, or relating in any way to, past services for the Company or any Subsidiary or affiliate. The value of the Option is an extraordinary item that does not constitute compensation or pay of any kind for services of any kind rendered to the Company or its Subsidiaries or affiliates and which is outside the scope of Grantee’s written service agreement (if 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Grantee acknowledges that he or she is voluntarily participating in the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Neither the Plan nor the Option or any other Award granted under the Plan shall be deemed to give Grantee a right to remain in the service of the Company or any Subsidiary or Affiliate in any capacity. The Company reserves the right to terminate Grantee’s service at any time, with or without cause, and for any reason.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The grant of the Option and Grantee’s participation in the Plan will not be interpreted to form a service relationship with the Company or any Subsidiary or affiliate.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 The future value of the Shares is unknown, indeterminable and cannot be predicted with certainty and if Grantee vests in the Option and purchases Shares, the value of those Shares may increase or decrease. Grantee also understand that none of the Company or its Subsidiaries or affiliates is responsible for any foreign exchange fluctuation that may affect the value of the Option.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(g) No claim or entitlement to compensation or damages shall arise from forfeiture of the Option resulting from the termination of Grantee’s service by the Company (for any reason whatsoever and whether or not later found to be invalid or in breach of the laws in the jurisdiction where Grantee is providing service, or the terms of Grantee’s service agreement, if any) and, in consideration of the grant of the Award to which Grantee is not otherwise entitled, Grantee irrevocably agree never to institute any claim against the Company or its Subsidiaries or affiliates, waives Grantee’s ability, if any, to bring any such claim, and releases the Company and its Subsidiaries and affiliates from any such claim; if notwithstanding the foregoing, any such claim is allowed by a court of competent jurisdiction, then, by accepting the Award, Grantee shall be deemed irrevocably to have agreed to not pursue such claim and agree to execute any and all documents necessary to request the withdrawal of such claim.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 Grantee agrees that the Company may require Shares received pursuant to the Option to be held by a broker designated by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Grantee agrees that Grantee’s rights hereunder (if any) shall be subject to set-off by the Company for any valid debts Grantee owes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 Unless otherwise provided in the Plan or this Agreement, or by the Company in its discretion, the Option and the benefits evidenced by this Agreement do not create any entitlement to have the Option transferred to, or assumed by, another company, nor to be exchanged, cashed out or substituted for in connection with any transaction affecting the Shares.</w:t>
      </w:r>
    </w:p>
    <w:p>
      <w:pPr>
        <w:pStyle w:val="TextBody"/>
        <w:bidi w:val="0"/>
        <w:spacing w:before="0" w:after="240"/>
        <w:jc w:val="left"/>
        <w:rPr/>
      </w:pPr>
      <w:r>
        <w:rPr/>
        <w:t> </w:t>
      </w:r>
    </w:p>
    <w:p>
      <w:pPr>
        <w:pStyle w:val="TextBody"/>
        <w:bidi w:val="0"/>
        <w:spacing w:before="240" w:after="24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hereto have executed this Agreement as of the date first set forth above.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BIOATLA,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[Name]</w:t>
      </w:r>
    </w:p>
    <w:p>
      <w:pPr>
        <w:pStyle w:val="TextBody"/>
        <w:bidi w:val="0"/>
        <w:jc w:val="left"/>
        <w:rPr>
          <w:rFonts w:ascii="Times New Roman" w:hAnsi="Times New Roman"/>
          <w:color w:val="000000"/>
          <w:sz w:val="20"/>
        </w:rPr>
      </w:pPr>
      <w:r>
        <w:rPr>
          <w:rFonts w:ascii="Times New Roman" w:hAnsi="Times New Roman"/>
          <w:color w:val="000000"/>
          <w:sz w:val="20"/>
        </w:rPr>
        <w:t>[Title]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GRANTEE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_____________________________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[Name]</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bcab-ex10_25.htm"/>
      <w:bookmarkStart w:id="52" w:name="ksbcabex10_25"/>
      <w:bookmarkEnd w:id="51"/>
      <w:bookmarkEnd w:id="52"/>
      <w:r>
        <w:rPr>
          <w:rFonts w:ascii="Times New Roman" w:hAnsi="Times New Roman"/>
          <w:b/>
          <w:color w:val="000000"/>
          <w:sz w:val="20"/>
        </w:rPr>
        <w:t>Exhibit 10.25</w:t>
      </w:r>
      <w:r>
        <w:br w:type="page"/>
      </w:r>
    </w:p>
    <w:p>
      <w:pPr>
        <w:pStyle w:val="TextBody"/>
        <w:bidi w:val="0"/>
        <w:spacing w:before="0" w:after="240"/>
        <w:jc w:val="right"/>
        <w:rPr>
          <w:rFonts w:ascii="Times New Roman" w:hAnsi="Times New Roman"/>
          <w:sz w:val="20"/>
        </w:rPr>
      </w:pPr>
      <w:r>
        <w:rPr>
          <w:rFonts w:ascii="Times New Roman" w:hAnsi="Times New Roman"/>
          <w:b/>
          <w:color w:val="000000"/>
          <w:sz w:val="20"/>
        </w:rPr>
        <w:t xml:space="preserve">Stock Option No: </w:t>
      </w:r>
      <w:r>
        <w:rPr>
          <w:rFonts w:ascii="Times New Roman" w:hAnsi="Times New Roman"/>
          <w:b/>
          <w:color w:val="000000"/>
          <w:sz w:val="20"/>
          <w:u w:val="single"/>
        </w:rPr>
        <w:t>Stock Option</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STOCK OPTION AGREEMENT</w:t>
        <w:br/>
        <w:t xml:space="preserve">UNDER THE BIOATLA, INC. </w:t>
        <w:br/>
        <w:t>2020 EQUITY INCENTIVE PLAN</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THIS STOCK OPTION AGREEMENT</w:t>
      </w:r>
      <w:r>
        <w:rPr>
          <w:rFonts w:ascii="Times New Roman" w:hAnsi="Times New Roman"/>
          <w:color w:val="000000"/>
          <w:sz w:val="20"/>
        </w:rPr>
        <w:t xml:space="preserve"> (this “</w:t>
      </w:r>
      <w:r>
        <w:rPr>
          <w:rFonts w:ascii="Times New Roman" w:hAnsi="Times New Roman"/>
          <w:b/>
          <w:i/>
          <w:color w:val="000000"/>
          <w:sz w:val="20"/>
        </w:rPr>
        <w:t>Agreement</w:t>
      </w:r>
      <w:r>
        <w:rPr>
          <w:rFonts w:ascii="Times New Roman" w:hAnsi="Times New Roman"/>
          <w:color w:val="000000"/>
          <w:sz w:val="20"/>
        </w:rPr>
        <w:t>”) is between BioAtla, Inc., a Delaware corporation (the “</w:t>
      </w:r>
      <w:r>
        <w:rPr>
          <w:rFonts w:ascii="Times New Roman" w:hAnsi="Times New Roman"/>
          <w:b/>
          <w:i/>
          <w:color w:val="000000"/>
          <w:sz w:val="20"/>
        </w:rPr>
        <w:t>Company</w:t>
      </w:r>
      <w:r>
        <w:rPr>
          <w:rFonts w:ascii="Times New Roman" w:hAnsi="Times New Roman"/>
          <w:color w:val="000000"/>
          <w:sz w:val="20"/>
        </w:rPr>
        <w:t>”), and ________ (the “</w:t>
      </w:r>
      <w:r>
        <w:rPr>
          <w:rFonts w:ascii="Times New Roman" w:hAnsi="Times New Roman"/>
          <w:b/>
          <w:i/>
          <w:color w:val="000000"/>
          <w:sz w:val="20"/>
        </w:rPr>
        <w:t>Grantee</w:t>
      </w:r>
      <w:r>
        <w:rPr>
          <w:rFonts w:ascii="Times New Roman" w:hAnsi="Times New Roman"/>
          <w:color w:val="000000"/>
          <w:sz w:val="20"/>
        </w:rPr>
        <w:t>”).</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RECITALS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WHEREAS, </w:t>
      </w:r>
      <w:r>
        <w:rPr>
          <w:rFonts w:ascii="Times New Roman" w:hAnsi="Times New Roman"/>
          <w:color w:val="000000"/>
          <w:sz w:val="20"/>
        </w:rPr>
        <w:t>the Company maintains the BioAtla, Inc. 2020 Equity Incentive Plan (as it may be amended and/or restated from time to time, the “</w:t>
      </w:r>
      <w:r>
        <w:rPr>
          <w:rFonts w:ascii="Times New Roman" w:hAnsi="Times New Roman"/>
          <w:b/>
          <w:i/>
          <w:color w:val="000000"/>
          <w:sz w:val="20"/>
        </w:rPr>
        <w:t>Plan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WHEREAS, </w:t>
      </w:r>
      <w:r>
        <w:rPr>
          <w:rFonts w:ascii="Times New Roman" w:hAnsi="Times New Roman"/>
          <w:color w:val="000000"/>
          <w:sz w:val="20"/>
        </w:rPr>
        <w:t>the Plan permits the Company to award options to purchase shares of the Company’s common stock, $0.0001 par value per share (“</w:t>
      </w:r>
      <w:r>
        <w:rPr>
          <w:rFonts w:ascii="Times New Roman" w:hAnsi="Times New Roman"/>
          <w:b/>
          <w:i/>
          <w:color w:val="000000"/>
          <w:sz w:val="20"/>
        </w:rPr>
        <w:t>Shares</w:t>
      </w:r>
      <w:r>
        <w:rPr>
          <w:rFonts w:ascii="Times New Roman" w:hAnsi="Times New Roman"/>
          <w:color w:val="000000"/>
          <w:sz w:val="20"/>
        </w:rPr>
        <w:t>”), subject to the terms of the Plan; and</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Company desires to grant an option to purchase Shares to the Grantee in accordance with the terms of this award agreement (this “</w:t>
      </w:r>
      <w:r>
        <w:rPr>
          <w:rFonts w:ascii="Times New Roman" w:hAnsi="Times New Roman"/>
          <w:b/>
          <w:i/>
          <w:color w:val="000000"/>
          <w:sz w:val="20"/>
        </w:rPr>
        <w:t>Agreement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NOW, THEREFORE, </w:t>
      </w:r>
      <w:r>
        <w:rPr>
          <w:rFonts w:ascii="Times New Roman" w:hAnsi="Times New Roman"/>
          <w:color w:val="000000"/>
          <w:sz w:val="20"/>
        </w:rPr>
        <w:t>in consideration of the foregoing and the agreements set forth herein, the parties, intending to be legally bound hereby, agree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1.</w:t>
      </w:r>
    </w:p>
    <w:p>
      <w:pPr>
        <w:pStyle w:val="TextBody"/>
        <w:bidi w:val="0"/>
        <w:spacing w:before="0" w:after="240"/>
        <w:jc w:val="both"/>
        <w:rPr/>
      </w:pPr>
      <w:r>
        <w:rPr>
          <w:rFonts w:ascii="Times New Roman" w:hAnsi="Times New Roman"/>
          <w:color w:val="000000"/>
          <w:sz w:val="20"/>
          <w:u w:val="single"/>
        </w:rPr>
        <w:t>Grant of Option</w:t>
      </w:r>
      <w:r>
        <w:rPr>
          <w:rFonts w:ascii="Times New Roman" w:hAnsi="Times New Roman"/>
          <w:color w:val="000000"/>
          <w:sz w:val="20"/>
        </w:rPr>
        <w:t>. Effective as of __________ (the “</w:t>
      </w:r>
      <w:r>
        <w:rPr>
          <w:rFonts w:ascii="Times New Roman" w:hAnsi="Times New Roman"/>
          <w:b/>
          <w:i/>
          <w:color w:val="000000"/>
          <w:sz w:val="20"/>
        </w:rPr>
        <w:t>Date of Grant</w:t>
      </w:r>
      <w:r>
        <w:rPr>
          <w:color w:val="000000"/>
        </w:rPr>
        <w:t>”</w:t>
      </w:r>
      <w:r>
        <w:rPr>
          <w:rFonts w:ascii="Times New Roman" w:hAnsi="Times New Roman"/>
          <w:color w:val="000000"/>
          <w:sz w:val="20"/>
        </w:rPr>
        <w:t>), the Company grants to the Grantee, pursuant to the Plan and the terms and conditions of this Agreement, an option to purchase __________ Shares at an exercise price per Share equal to _____________ (</w:t>
      </w:r>
      <w:r>
        <w:rPr>
          <w:rFonts w:ascii="Times New Roman" w:hAnsi="Times New Roman"/>
          <w:b/>
          <w:i/>
          <w:color w:val="000000"/>
          <w:sz w:val="20"/>
        </w:rPr>
        <w:t>Option</w:t>
      </w:r>
      <w:r>
        <w:rPr>
          <w:color w:val="000000"/>
        </w:rPr>
        <w:t>”</w:t>
      </w:r>
      <w:r>
        <w:rPr>
          <w:rFonts w:ascii="Times New Roman" w:hAnsi="Times New Roman"/>
          <w:color w:val="000000"/>
          <w:sz w:val="20"/>
        </w:rPr>
        <w:t xml:space="preserve">). The Option is not, and is not intended to be, an Incentive Stock Option under Section 422 of the Code.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2.</w:t>
      </w:r>
    </w:p>
    <w:p>
      <w:pPr>
        <w:pStyle w:val="TextBody"/>
        <w:bidi w:val="0"/>
        <w:spacing w:before="240" w:after="240"/>
        <w:jc w:val="both"/>
        <w:rPr/>
      </w:pPr>
      <w:r>
        <w:rPr>
          <w:rFonts w:ascii="Times New Roman" w:hAnsi="Times New Roman"/>
          <w:color w:val="000000"/>
          <w:sz w:val="20"/>
          <w:u w:val="single"/>
        </w:rPr>
        <w:t>Term of Option</w:t>
      </w:r>
      <w:r>
        <w:rPr>
          <w:rFonts w:ascii="Times New Roman" w:hAnsi="Times New Roman"/>
          <w:color w:val="000000"/>
          <w:sz w:val="20"/>
        </w:rPr>
        <w:t>. Unless earlier terminated pursuant to the Plan or the other provisions of this Agreement, the Option shall terminate at 5 p.m. Pacific time on the 10</w:t>
      </w:r>
      <w:r>
        <w:rPr>
          <w:rFonts w:ascii="Times New Roman" w:hAnsi="Times New Roman"/>
          <w:color w:val="000000"/>
          <w:sz w:val="13"/>
        </w:rPr>
        <w:t>th</w:t>
      </w:r>
      <w:r>
        <w:rPr>
          <w:color w:val="000000"/>
        </w:rPr>
        <w:t xml:space="preserve"> </w:t>
      </w:r>
      <w:r>
        <w:rPr>
          <w:rFonts w:ascii="Times New Roman" w:hAnsi="Times New Roman"/>
          <w:color w:val="000000"/>
          <w:sz w:val="20"/>
        </w:rPr>
        <w:t>anniversary of the Date of Grant (the “</w:t>
      </w:r>
      <w:r>
        <w:rPr>
          <w:rFonts w:ascii="Times New Roman" w:hAnsi="Times New Roman"/>
          <w:b/>
          <w:i/>
          <w:color w:val="000000"/>
          <w:sz w:val="20"/>
        </w:rPr>
        <w:t>Expiration Date</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Except as otherwise provided in Section 7.2 of the Plan or as provided in </w:t>
      </w:r>
      <w:r>
        <w:rPr>
          <w:rFonts w:ascii="Times New Roman" w:hAnsi="Times New Roman"/>
          <w:b/>
          <w:i/>
          <w:color w:val="000000"/>
          <w:sz w:val="20"/>
        </w:rPr>
        <w:t>[third-party administrative platform]</w:t>
      </w:r>
      <w:r>
        <w:rPr>
          <w:rFonts w:ascii="Times New Roman" w:hAnsi="Times New Roman"/>
          <w:color w:val="000000"/>
          <w:sz w:val="20"/>
        </w:rPr>
        <w:t>, upon the Grantee’s termination of Service (defined below) with the Company and its Subsidiaries for any reason whatsoever, the Option shall terminate as to that number of Shares as to which the Option is not vested at the time of such termination of Service, without any compensation or other payment due to the Grantee or any other Person. For purposes of this Agreement, “Service” shall mean continuous service as an employee, non-employee member of the Company’s Board of Directors or independent contractor.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Grantee’s Service with the Company or any of its Subsidiaries is terminated for Cause, then the unexercised portion of the Option (whether or not vested) will terminate immediately upon such termination of Service, without any compensation or other payment due to the Grantee or any other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Except as otherwise provided in Section 7.2 of the Plan, if the Grantee’s Service with the Company and its Subsidiaries terminates for any reason other than Cause, death or Disability, then the Option may be exercised to the extent vested at the time of such termination of Service at any time prior to the earlier of the Expiration Date and 90 days after such termination of Service, and any part of the Option which is not exercised within such period shall terminate at the end of such period without any compensation or other payment due to the Grantee or any other Person. Except as otherwise provided in Section 7.2 of the Plan, if the Grantee’s Service with the Company and its Subsidiaries terminates by reason of his or her death or Disability, then the Option may be exercised, as to the number of whole Shares with respect to which the Option is vested and exercisable at the time of such death or Disability, at any time prior to the earlier of the Expiration Date and twelve (12) months after such termination of Service, and any part of the Option which is not exercised within such period shall terminate at the end of such period without any compensation or other payment due to the Grantee or any other Person.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Committee, in its absolute discretion, shall determine the effect of all matters and questions relating to termination of Service, including, but not by way of limitation, the question of whether a termination of Service resulted from Cause.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3.</w:t>
      </w:r>
    </w:p>
    <w:p>
      <w:pPr>
        <w:pStyle w:val="TextBody"/>
        <w:bidi w:val="0"/>
        <w:spacing w:before="240" w:after="240"/>
        <w:jc w:val="both"/>
        <w:rPr/>
      </w:pPr>
      <w:r>
        <w:rPr>
          <w:rFonts w:ascii="Times New Roman" w:hAnsi="Times New Roman"/>
          <w:color w:val="000000"/>
          <w:sz w:val="20"/>
          <w:u w:val="single"/>
        </w:rPr>
        <w:t>Vesting</w:t>
      </w:r>
      <w:r>
        <w:rPr>
          <w:rFonts w:ascii="Times New Roman" w:hAnsi="Times New Roman"/>
          <w:color w:val="000000"/>
          <w:sz w:val="20"/>
        </w:rPr>
        <w:t xml:space="preserve">. The Option shall vest and become exercisable as shown in </w:t>
      </w:r>
      <w:r>
        <w:rPr>
          <w:rFonts w:ascii="Times New Roman" w:hAnsi="Times New Roman"/>
          <w:b/>
          <w:i/>
          <w:color w:val="000000"/>
          <w:sz w:val="20"/>
        </w:rPr>
        <w:t>[third-party administrative platform]</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Section 4.</w:t>
      </w:r>
    </w:p>
    <w:p>
      <w:pPr>
        <w:pStyle w:val="TextBody"/>
        <w:bidi w:val="0"/>
        <w:spacing w:before="240" w:after="240"/>
        <w:jc w:val="left"/>
        <w:rPr/>
      </w:pPr>
      <w:r>
        <w:rPr>
          <w:rFonts w:ascii="Times New Roman" w:hAnsi="Times New Roman"/>
          <w:color w:val="000000"/>
          <w:sz w:val="20"/>
          <w:u w:val="single"/>
        </w:rPr>
        <w:t>Manner of Exercise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bookmarkStart w:id="53" w:name="ole_link1"/>
      <w:bookmarkEnd w:id="53"/>
      <w:r>
        <w:rPr>
          <w:rFonts w:ascii="Times New Roman" w:hAnsi="Times New Roman"/>
          <w:color w:val="000000"/>
          <w:sz w:val="20"/>
        </w:rPr>
        <w:t xml:space="preserve">To exercise the Option, the Grantee shall comply with such procedures for exercise as the Committee shall have adopted, as may be in effect from time to time. Payment of the exercise price and all applicable withholding taxes shall be (i) in cash or (ii) through a broker-assisted cashless exercise or (iii) a combination of (i) and (ii), as elected by the Grantee. Any exercise of the Option is conditioned on Grantee’s payment to the Company in full of the aggregate exercise price (as described in the preceding sentence) of the portion of the Option being exercised, plus the amount of the withholding taxes determined by the Company to be due upon the purchase of such number of Shares.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date on which the Company receives the notice of exercise accompanied by payment in full of the exercise price for the Shares covered by the notice and the applicable withholding taxes shall be the date as of which the Shares shall be deemed to have been issued.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exercise the Option following the Grantee’s death, the Persons who acquire the right to exercise the Option must prove to the Committee’s satisfaction that they have duly acquired the Option and that they have paid (or have provided for payment of) any taxes, such as estate, transfer, inheritance or death taxes, payable with respect to the Option or the Shares to which it relates, in addition to satisfying the other terms and conditions set forth in this Agreement.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5.</w:t>
      </w:r>
    </w:p>
    <w:p>
      <w:pPr>
        <w:pStyle w:val="TextBody"/>
        <w:bidi w:val="0"/>
        <w:spacing w:before="240" w:after="240"/>
        <w:jc w:val="both"/>
        <w:rPr/>
      </w:pPr>
      <w:r>
        <w:rPr>
          <w:rFonts w:ascii="Times New Roman" w:hAnsi="Times New Roman"/>
          <w:color w:val="000000"/>
          <w:sz w:val="20"/>
          <w:u w:val="single"/>
        </w:rPr>
        <w:t>Transferability</w:t>
      </w:r>
      <w:r>
        <w:rPr>
          <w:rFonts w:ascii="Times New Roman" w:hAnsi="Times New Roman"/>
          <w:color w:val="000000"/>
          <w:sz w:val="20"/>
        </w:rPr>
        <w:t>. The Option may only be transferred in accordance with Section 12 of the Plan.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Times New Roman" w:hAnsi="Times New Roman"/>
          <w:color w:val="000000"/>
          <w:sz w:val="20"/>
          <w:u w:val="single"/>
        </w:rPr>
        <w:t>Withholding Taxes</w:t>
      </w:r>
      <w:r>
        <w:rPr>
          <w:rFonts w:ascii="Times New Roman" w:hAnsi="Times New Roman"/>
          <w:color w:val="000000"/>
          <w:sz w:val="20"/>
        </w:rPr>
        <w:t xml:space="preserve">. The Grantee shall be responsible for making appropriate provision for all taxes required to be withheld in connection with the Option (including the exercise thereof). Such responsibility shall extend to all applicable federal, state, local and foreign withholding taxes. The Company or its Subsidiaries, in their sole discretion, shall have the right to retain from the Shares otherwise deliverable on exercise of the Option the number of shares whose Fair Market Value equals the amount to be withheld in satisfaction of the applicable withholding taxes (or to withhold from any payroll or other amounts otherwise due to the Grantee the amount of withholding taxes due in connection with the Option (including the exercise thereof)).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7.</w:t>
      </w:r>
    </w:p>
    <w:p>
      <w:pPr>
        <w:pStyle w:val="TextBody"/>
        <w:bidi w:val="0"/>
        <w:spacing w:before="240" w:after="240"/>
        <w:jc w:val="both"/>
        <w:rPr/>
      </w:pPr>
      <w:r>
        <w:rPr>
          <w:rFonts w:ascii="Times New Roman" w:hAnsi="Times New Roman"/>
          <w:color w:val="000000"/>
          <w:sz w:val="20"/>
          <w:u w:val="single"/>
        </w:rPr>
        <w:t>The Plan</w:t>
      </w:r>
      <w:r>
        <w:rPr>
          <w:rFonts w:ascii="Times New Roman" w:hAnsi="Times New Roman"/>
          <w:color w:val="000000"/>
          <w:sz w:val="20"/>
        </w:rPr>
        <w:t>. The Grantee has received a copy of the Plan, has read the Plan and is familiar with its terms, and hereby accepts the Option subject to all of the terms and provisions of the Plan and this Agreement. The Option is subject to all of the terms and provisions of the Plan, all of which are incorporated by reference. Pursuant to the Plan, the Committee is authorized to interpret the Plan and to adopt rules and regulations not inconsistent with the Plan as it deems appropriate. The Grantee hereby agrees to accept as binding, conclusive and final all decisions and interpretations of the Committee with respect to the Plan, this Agreement, the Option and any agreement relating to the Option. In the event of a conflict between the terms of the Plan and the terms of this Agreement, the terms of the Plan shall control.</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8.</w:t>
      </w:r>
    </w:p>
    <w:p>
      <w:pPr>
        <w:pStyle w:val="TextBody"/>
        <w:bidi w:val="0"/>
        <w:spacing w:before="240" w:after="240"/>
        <w:jc w:val="both"/>
        <w:rPr/>
      </w:pPr>
      <w:r>
        <w:rPr>
          <w:rFonts w:ascii="Times New Roman" w:hAnsi="Times New Roman"/>
          <w:color w:val="000000"/>
          <w:sz w:val="20"/>
          <w:u w:val="single"/>
        </w:rPr>
        <w:t>Rights in Shares Before Issuance and Delivery</w:t>
      </w:r>
      <w:r>
        <w:rPr>
          <w:rFonts w:ascii="Times New Roman" w:hAnsi="Times New Roman"/>
          <w:color w:val="000000"/>
          <w:sz w:val="20"/>
        </w:rPr>
        <w:t>. The Grantee shall not have any rights as a stockholder of the Company with respect to the Shares underlying the Option unless and until the Option has been exercised and such Shares have been issued to the Grantee as fully paid Shares. No adjustment shall be made for dividends, distributions, or other rights for which the record date is prior to the date the Shares are issued, except as provided in Section 8 of the Plan.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9.</w:t>
      </w:r>
    </w:p>
    <w:p>
      <w:pPr>
        <w:pStyle w:val="TextBody"/>
        <w:bidi w:val="0"/>
        <w:spacing w:before="240" w:after="240"/>
        <w:jc w:val="both"/>
        <w:rPr/>
      </w:pPr>
      <w:r>
        <w:rPr>
          <w:rFonts w:ascii="Times New Roman" w:hAnsi="Times New Roman"/>
          <w:color w:val="000000"/>
          <w:sz w:val="20"/>
          <w:u w:val="single"/>
        </w:rPr>
        <w:t>No Promise of Employment or Other Service</w:t>
      </w:r>
      <w:r>
        <w:rPr>
          <w:rFonts w:ascii="Times New Roman" w:hAnsi="Times New Roman"/>
          <w:color w:val="000000"/>
          <w:sz w:val="20"/>
        </w:rPr>
        <w:t xml:space="preserve">. Neither the Plan nor the granting, holding, vesting or exercise of the Option will confer upon the Grantee any right to continue in the employ or other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service of the Company or any Subsidiary, or limit, in any respect, the right of the Company or any Subsidiary to terminate the Grantee at any time, for any reason and with or without notice.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10.</w:t>
      </w:r>
    </w:p>
    <w:p>
      <w:pPr>
        <w:pStyle w:val="TextBody"/>
        <w:bidi w:val="0"/>
        <w:spacing w:before="240" w:after="240"/>
        <w:jc w:val="both"/>
        <w:rPr/>
      </w:pPr>
      <w:r>
        <w:rPr>
          <w:rFonts w:ascii="Times New Roman" w:hAnsi="Times New Roman"/>
          <w:color w:val="000000"/>
          <w:sz w:val="20"/>
          <w:u w:val="single"/>
        </w:rPr>
        <w:t>Qualifications to Exercise</w:t>
      </w:r>
      <w:r>
        <w:rPr>
          <w:rFonts w:ascii="Times New Roman" w:hAnsi="Times New Roman"/>
          <w:color w:val="000000"/>
          <w:sz w:val="20"/>
        </w:rPr>
        <w:t>. Notwithstanding anything in this Agreement or in the Plan to the contrary, in no event may the Option be exercisable if the Company shall, at any time and in its sole discretion, determine that (a) the listing, registration or qualification of any Shares otherwise deliverable upon such exercise is required upon any securities exchange or under any state, federal, or foreign law, or (b) the consent or approval of any regulatory body is necessary or desirable in connection with such exercise. In such event, such exercise shall be held in abeyance and shall not be effective unless and until such listing, registration, qualification or approval shall have been effected or obtained free of any conditions not acceptable to the Company (regardless of any termination of the Option prior to such listing, registration, qualification or approval).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 requisite authority shall not have been obtained. The Company shall not be required to issue fractional Shares upon the exercise of the Option.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11.</w:t>
      </w:r>
    </w:p>
    <w:p>
      <w:pPr>
        <w:pStyle w:val="TextBody"/>
        <w:bidi w:val="0"/>
        <w:spacing w:before="240" w:after="240"/>
        <w:jc w:val="both"/>
        <w:rPr/>
      </w:pPr>
      <w:r>
        <w:rPr>
          <w:rFonts w:ascii="Times New Roman" w:hAnsi="Times New Roman"/>
          <w:color w:val="000000"/>
          <w:sz w:val="20"/>
          <w:u w:val="single"/>
        </w:rPr>
        <w:t>Conditions to Transfer</w:t>
      </w:r>
      <w:r>
        <w:rPr>
          <w:rFonts w:ascii="Times New Roman" w:hAnsi="Times New Roman"/>
          <w:color w:val="000000"/>
          <w:sz w:val="20"/>
        </w:rPr>
        <w:t>. As a condition to the exercise of the Option, the Company may require the Grantee to satisfy any qualifications that may be necessary or appropriate, to evidence compliance with any applicable law or regulation and to make any representation or warranty with respect thereto as may be requested by the Company. The certificate issued to evidence such Shares, if any, may bear appropriate legends summarizing these restrictions.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12.</w:t>
      </w:r>
    </w:p>
    <w:p>
      <w:pPr>
        <w:pStyle w:val="TextBody"/>
        <w:bidi w:val="0"/>
        <w:spacing w:before="240" w:after="240"/>
        <w:jc w:val="both"/>
        <w:rPr/>
      </w:pPr>
      <w:r>
        <w:rPr>
          <w:rFonts w:ascii="Times New Roman" w:hAnsi="Times New Roman"/>
          <w:color w:val="000000"/>
          <w:sz w:val="20"/>
          <w:u w:val="single"/>
        </w:rPr>
        <w:t>Investment Representation</w:t>
      </w:r>
      <w:r>
        <w:rPr>
          <w:rFonts w:ascii="Times New Roman" w:hAnsi="Times New Roman"/>
          <w:color w:val="000000"/>
          <w:sz w:val="20"/>
        </w:rPr>
        <w:t>. The Grantee hereby represents and warrants to the Company that the Grantee, by reason of the Grantee’s business or financial experience (or the business or financial experience of the Grantee’s professional advisors who are unaffiliated with and who are not compensated by the Company or any affiliate or selling agent of the Company, directly or indirectly), has the capacity to protect the Grantee’s own interests in connection with the transactions contemplated under this Agreement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13.</w:t>
      </w:r>
    </w:p>
    <w:p>
      <w:pPr>
        <w:pStyle w:val="TextBody"/>
        <w:bidi w:val="0"/>
        <w:spacing w:before="240" w:after="240"/>
        <w:jc w:val="both"/>
        <w:rPr/>
      </w:pPr>
      <w:r>
        <w:rPr>
          <w:rFonts w:ascii="Times New Roman" w:hAnsi="Times New Roman"/>
          <w:color w:val="000000"/>
          <w:sz w:val="20"/>
          <w:u w:val="single"/>
        </w:rPr>
        <w:t>Entire Agreement</w:t>
      </w:r>
      <w:r>
        <w:rPr>
          <w:rFonts w:ascii="Times New Roman" w:hAnsi="Times New Roman"/>
          <w:color w:val="000000"/>
          <w:sz w:val="20"/>
        </w:rPr>
        <w:t>. This Agreement, together with the Plan, represents the entire agreement between the parties hereto relating to the subject matter hereof, and merges and supersedes all prior and contemporaneous discussions, agreements and understandings of every nature relating to the award of the Option to the Grantee by the Company.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14.</w:t>
      </w:r>
    </w:p>
    <w:p>
      <w:pPr>
        <w:pStyle w:val="TextBody"/>
        <w:bidi w:val="0"/>
        <w:spacing w:before="240" w:after="240"/>
        <w:jc w:val="both"/>
        <w:rPr/>
      </w:pPr>
      <w:r>
        <w:rPr>
          <w:rFonts w:ascii="Times New Roman" w:hAnsi="Times New Roman"/>
          <w:color w:val="000000"/>
          <w:sz w:val="20"/>
          <w:u w:val="single"/>
        </w:rPr>
        <w:t>Administration</w:t>
      </w:r>
      <w:r>
        <w:rPr>
          <w:rFonts w:ascii="Times New Roman" w:hAnsi="Times New Roman"/>
          <w:color w:val="000000"/>
          <w:sz w:val="20"/>
        </w:rPr>
        <w:t>. All questions of interpretation concerning this Agreement, the Plan, or any other agreement or document employed by the Company in the administration of the Plan or the Option shall be determined by the Committee. All such determinations by the Committee shall be final, binding, and conclusive upon all Persons having an interest in the Option. In addition, all other actions, decisions, and determinations taken or made by the Committee in the exercise of its discretion pursuant to the Plan, this Agreement or the Option or any other agreement or document relating thereto or hereto shall be final, binding and conclusive upon all Persons having an interest in this Agreement or the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15.</w:t>
      </w:r>
    </w:p>
    <w:p>
      <w:pPr>
        <w:pStyle w:val="TextBody"/>
        <w:bidi w:val="0"/>
        <w:spacing w:before="0" w:after="240"/>
        <w:jc w:val="both"/>
        <w:rPr/>
      </w:pPr>
      <w:r>
        <w:rPr>
          <w:rFonts w:ascii="Times New Roman" w:hAnsi="Times New Roman"/>
          <w:color w:val="000000"/>
          <w:sz w:val="20"/>
          <w:u w:val="single"/>
        </w:rPr>
        <w:t>Binding Effect</w:t>
      </w:r>
      <w:r>
        <w:rPr>
          <w:rFonts w:ascii="Times New Roman" w:hAnsi="Times New Roman"/>
          <w:color w:val="000000"/>
          <w:sz w:val="20"/>
        </w:rPr>
        <w:t>. This Agreement shall be binding upon and inure to the benefit of the Company and its successors and assigns and upon the Grantee and his or her permitted transferees, heirs, executors, administrators and legal representatives.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16.</w:t>
      </w:r>
    </w:p>
    <w:p>
      <w:pPr>
        <w:pStyle w:val="TextBody"/>
        <w:bidi w:val="0"/>
        <w:spacing w:before="240" w:after="240"/>
        <w:jc w:val="both"/>
        <w:rPr/>
      </w:pPr>
      <w:r>
        <w:rPr>
          <w:rFonts w:ascii="Times New Roman" w:hAnsi="Times New Roman"/>
          <w:color w:val="000000"/>
          <w:sz w:val="20"/>
          <w:u w:val="single"/>
        </w:rPr>
        <w:t>Further Instruments</w:t>
      </w:r>
      <w:r>
        <w:rPr>
          <w:rFonts w:ascii="Times New Roman" w:hAnsi="Times New Roman"/>
          <w:color w:val="000000"/>
          <w:sz w:val="20"/>
        </w:rPr>
        <w:t>. The parties to this Agreement agree to execute such further instruments and to take such further action as may reasonably be necessary to carry out the intent of this Agreement.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17.</w:t>
      </w:r>
    </w:p>
    <w:p>
      <w:pPr>
        <w:pStyle w:val="TextBody"/>
        <w:bidi w:val="0"/>
        <w:spacing w:before="240" w:after="240"/>
        <w:jc w:val="both"/>
        <w:rPr/>
      </w:pPr>
      <w:r>
        <w:rPr>
          <w:rFonts w:ascii="Times New Roman" w:hAnsi="Times New Roman"/>
          <w:color w:val="000000"/>
          <w:sz w:val="20"/>
          <w:u w:val="single"/>
        </w:rPr>
        <w:t>Amendment; Termination; Waiver</w:t>
      </w:r>
      <w:r>
        <w:rPr>
          <w:rFonts w:ascii="Times New Roman" w:hAnsi="Times New Roman"/>
          <w:color w:val="000000"/>
          <w:sz w:val="20"/>
        </w:rPr>
        <w:t>. Except as otherwise provided in the Plan, this Agreement may be amended or terminated, and its terms or covenants waived, only by a written instrument executed on behalf of the Company (as authorized by the Committee) and the Grantee that, in the case of an amendment or waiver, identifies the specific provision of this Agreement being amended or waived.</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18.</w:t>
      </w:r>
    </w:p>
    <w:p>
      <w:pPr>
        <w:pStyle w:val="TextBody"/>
        <w:bidi w:val="0"/>
        <w:spacing w:before="240" w:after="240"/>
        <w:jc w:val="both"/>
        <w:rPr/>
      </w:pPr>
      <w:r>
        <w:rPr>
          <w:rFonts w:ascii="Times New Roman" w:hAnsi="Times New Roman"/>
          <w:color w:val="000000"/>
          <w:sz w:val="20"/>
          <w:u w:val="single"/>
        </w:rPr>
        <w:t>Delivery of Documents and Notices</w:t>
      </w:r>
      <w:r>
        <w:rPr>
          <w:rFonts w:ascii="Times New Roman" w:hAnsi="Times New Roman"/>
          <w:color w:val="000000"/>
          <w:sz w:val="20"/>
        </w:rPr>
        <w:t xml:space="preserve">. Unless otherwise specified by the Grantee in writing, all documents relating to the Plan (including, without limitation, the Plan, this Agreement, the Plan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pPr>
      <w:r>
        <w:rPr>
          <w:rFonts w:ascii="Times New Roman" w:hAnsi="Times New Roman"/>
          <w:color w:val="000000"/>
          <w:sz w:val="20"/>
        </w:rPr>
        <w:t>prospectus and any reports of the Company provided generally to the Company’s stockholders) may be delivered to the Grantee electronically. Such means of electronic delivery may include the delivery of a link to a Company intranet or the internet site of a third party involved in administering the Plan, the delivery of the document via e-mail or other means of electronic delivery specified by the Company.</w:t>
      </w:r>
      <w:r>
        <w:rPr>
          <w:color w:val="00000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The Grantee acknowledges that the Grantee has read this Section 18 and consents to the electronic delivery of the Plan documents. The Grantee acknowledges that he or she may request from the Company a paper copy of any documents delivered electronically at no cost to the Grantee by contacting the Company by telephone or in writing. The Grantee further acknowledges that the Grantee will be provided with a paper copy of any documents if the attempted electronic delivery of such documents fails. Similarly, the Grantee understands that the Grantee must provide the Company or any designated third party administrator with a paper copy of any documents if the Grantee’s attempted electronic delivery of such documents fails. The Grantee may revoke his or her consent to the electronic delivery of documents described in this Section or may change the electronic mail address to which such documents are to be delivered (if Grantee has provided an electronic mail address) at any time by notifying the Company of such revoked consent or revised e-mail address by postal service or electronic mail. The Grantee understands that he or she is not required to consent to electronic delivery of documents described in this Section 18.</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19.</w:t>
      </w:r>
    </w:p>
    <w:p>
      <w:pPr>
        <w:pStyle w:val="TextBody"/>
        <w:bidi w:val="0"/>
        <w:spacing w:before="240" w:after="240"/>
        <w:jc w:val="both"/>
        <w:rPr/>
      </w:pPr>
      <w:r>
        <w:rPr>
          <w:rFonts w:ascii="Times New Roman" w:hAnsi="Times New Roman"/>
          <w:color w:val="000000"/>
          <w:sz w:val="20"/>
          <w:u w:val="single"/>
        </w:rPr>
        <w:t>Governing Law</w:t>
      </w:r>
      <w:r>
        <w:rPr>
          <w:rFonts w:ascii="Times New Roman" w:hAnsi="Times New Roman"/>
          <w:color w:val="000000"/>
          <w:sz w:val="20"/>
        </w:rPr>
        <w:t>. This Agreement shall be construed and enforced in accordance with the laws of the State of Delaware, without giving effect to the principles of conflicts of law thereof.</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20.</w:t>
      </w:r>
    </w:p>
    <w:p>
      <w:pPr>
        <w:pStyle w:val="TextBody"/>
        <w:bidi w:val="0"/>
        <w:spacing w:before="240" w:after="240"/>
        <w:jc w:val="both"/>
        <w:rPr/>
      </w:pPr>
      <w:r>
        <w:rPr>
          <w:rFonts w:ascii="Times New Roman" w:hAnsi="Times New Roman"/>
          <w:b/>
          <w:color w:val="000000"/>
          <w:sz w:val="20"/>
          <w:u w:val="single"/>
        </w:rPr>
        <w:t>JURISDICTION; WAIVER OF JURY TRIAL</w:t>
      </w:r>
      <w:r>
        <w:rPr>
          <w:rFonts w:ascii="Times New Roman" w:hAnsi="Times New Roman"/>
          <w:b/>
          <w:color w:val="000000"/>
          <w:sz w:val="20"/>
        </w:rPr>
        <w:t>.</w:t>
      </w:r>
      <w:r>
        <w:rPr>
          <w:color w:val="000000"/>
        </w:rPr>
        <w:t xml:space="preserve"> </w:t>
      </w:r>
      <w:r>
        <w:rPr>
          <w:rFonts w:ascii="Times New Roman" w:hAnsi="Times New Roman"/>
          <w:b/>
          <w:color w:val="000000"/>
          <w:sz w:val="20"/>
        </w:rPr>
        <w:t>BY ENTERING INTO THIS AGREEMENT, THE COMPANY AND THE GRANTEE IRREVOCABLY SUBMIT TO AND ACCEPT GENERALLY AND UNCONDITIONALLY THE EXCLUSIVE JURISDICTION OF THE FEDERAL COURTS LOCATED IN SAN DIEGO COUNTY (OR IF FEDERAL JURISDICTION DOES NOT EXIST, IN THE STATE COURTS LOCATED THEREIN) WITH RESPECT TO ALL DISPUTES RELATING TO THIS AGREEMENT, THE OPTION OR THE PLAN. THE COMPANY AND THE GRANTEE HEREBY ACCEPT SERVICE OF PROCESS PURSUANT TO THE LAWS OF THE STATE OF CALIFORNIA AND THE RULES OF ITS COURTS, WAIVE ANY DEFENSE OF FORUM NON CONVENIENS AND AGREE TO BE BOUND BY ANY JUDGMENT RENDERED BY SUCH COURTS ARISING OUT OF, RELATED TO, OR IN CONNECTION WITH, THIS AGREEMENT, THE OPTION OR THE PLAN.</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THE COMPANY AND THE GRANTEE IRREVOCABLY WAIVE ANY AND ALL RIGHT TO TRIAL BY JURY IN ANY LEGAL PROCEEDING ARISING OUT OF, RELATING TO, OR IN CONNECTION WITH THIS AGREEMENT, THE OPTION OR THE PLAN.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21.</w:t>
      </w:r>
    </w:p>
    <w:p>
      <w:pPr>
        <w:pStyle w:val="TextBody"/>
        <w:bidi w:val="0"/>
        <w:spacing w:before="240" w:after="240"/>
        <w:jc w:val="both"/>
        <w:rPr/>
      </w:pPr>
      <w:r>
        <w:rPr>
          <w:rFonts w:ascii="Times New Roman" w:hAnsi="Times New Roman"/>
          <w:color w:val="000000"/>
          <w:sz w:val="20"/>
          <w:u w:val="single"/>
        </w:rPr>
        <w:t>Severability</w:t>
      </w:r>
      <w:r>
        <w:rPr>
          <w:rFonts w:ascii="Times New Roman" w:hAnsi="Times New Roman"/>
          <w:color w:val="000000"/>
          <w:sz w:val="20"/>
        </w:rPr>
        <w:t>. All provisions of this Agreement are distinct and severable and if any clause shall be held to be invalid, illegal or against public policy, the validity or the legality of the remainder of this Agreement shall not be affected thereby, and the remainder of this Agreement shall be interpreted to give maximum effect to the original intention of the parties hereto.</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22.</w:t>
      </w:r>
    </w:p>
    <w:p>
      <w:pPr>
        <w:pStyle w:val="TextBody"/>
        <w:bidi w:val="0"/>
        <w:spacing w:before="240" w:after="240"/>
        <w:jc w:val="both"/>
        <w:rPr/>
      </w:pPr>
      <w:r>
        <w:rPr>
          <w:rFonts w:ascii="Times New Roman" w:hAnsi="Times New Roman"/>
          <w:color w:val="000000"/>
          <w:sz w:val="20"/>
          <w:u w:val="single"/>
        </w:rPr>
        <w:t>Defined Terms/Construction</w:t>
      </w:r>
      <w:r>
        <w:rPr>
          <w:rFonts w:ascii="Times New Roman" w:hAnsi="Times New Roman"/>
          <w:color w:val="000000"/>
          <w:sz w:val="20"/>
        </w:rPr>
        <w:t xml:space="preserve">. Capitalized terms used in this Agreement and not otherwise defined in this Agreement have the meanings ascribed to them in the Plan. Captions and titles contained in this Agreement are for convenience only and shall not affect the meaning or interpretation of any provision of this Agreement.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23.</w:t>
      </w:r>
    </w:p>
    <w:p>
      <w:pPr>
        <w:pStyle w:val="TextBody"/>
        <w:bidi w:val="0"/>
        <w:spacing w:before="240" w:after="240"/>
        <w:jc w:val="both"/>
        <w:rPr/>
      </w:pPr>
      <w:r>
        <w:rPr>
          <w:rFonts w:ascii="Times New Roman" w:hAnsi="Times New Roman"/>
          <w:color w:val="000000"/>
          <w:sz w:val="20"/>
          <w:u w:val="single"/>
        </w:rPr>
        <w:t>Authorization to Release and Transfer Necessary Personal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Grantee hereby explicitly and unambiguously consents to the collection, use and transfer, in electronic or other form, of Grantee’s personal information as described in this Agreement by and among, as applicable, the Company and its Subsidiaries and affiliates for the exclusive purpose of implementing, administering and managing Grantee’s participation in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Grantee understands that the Company and its Subsidiaries may hold certain personal information about Grantee, including, but not limited to, Grantee’s name, home address and telephone number, date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of birth, social security number (or any other social or national identification number), pay, nationality, job title, residency status, any Shares or directorships held in the Company, details of all Options or any other entitlement to Shares awarded, canceled, exercised, vested, unvested or outstanding (the “</w:t>
      </w:r>
      <w:r>
        <w:rPr>
          <w:rFonts w:ascii="Times New Roman" w:hAnsi="Times New Roman"/>
          <w:b/>
          <w:i/>
          <w:color w:val="000000"/>
          <w:sz w:val="20"/>
        </w:rPr>
        <w:t>Data</w:t>
      </w:r>
      <w:r>
        <w:rPr>
          <w:color w:val="000000"/>
        </w:rPr>
        <w:t>”</w:t>
      </w:r>
      <w:r>
        <w:rPr>
          <w:rFonts w:ascii="Times New Roman" w:hAnsi="Times New Roman"/>
          <w:color w:val="000000"/>
          <w:sz w:val="20"/>
        </w:rPr>
        <w:t>) for the purpose of implementing, administering and managing Grantee’s participation in the Plan. Grantee understands that the Data may be transferred to the Company or any of its Subsidiaries or affiliates, or to any third parties assisting in the implementation, administration and management of the Plan, that these recipients may be located in Grantee’s country or elsewhere, including outside the European Economic Area, and that the recipient’s country may have different data privacy laws and protections than Grantee’s country. Grantee understands that Grantee may request a list with the names and addresses of any potential recipients of the Data by contacting the Company’s human resources representative. Grantee authorizes the recipients to receive, possess, use, retain and transfer the Data, in electronic or other form, for the sole purposes of implementing, administering and managing Grantee’s participation in the Plan, including any requisite transfer of such Data to a broker or other third party assisting with the administration of the Option under the Plan or with whom Shares acquired pursuant to the Option or cash from the sale of such Shares may be deposited. Furthermore, Grantee acknowledges and understands that the transfer of the Data to the Company or any of its Subsidiaries or affiliates, or to any third parties is necessary for Grantee’s participation in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Grantee understands that the Data will be held only as long as is necessary to implement, administer and manage Grantee’s participation in the Plan. Grantee understands that Grantee may, at any time, view the Data, request additional information about the storage and processing of the Data, require any necessary amendments to the Data or refuse or withdraw the consents herein by contacting the Company’s human resources representative in writing. Further, Grantee understands that Grantee is providing the consents herein on a purely voluntary basis. If Grantee does not consent, or if Grantee later seeks to revoke his or her consent, Grantee’s employment and career with the Company and its Subsidiaries will not be affected; the only consequence of refusing or withdrawing Grantee’s consent is that the Company would not be able to grant Grantee Options or other equity awards, or administer or maintain such awards. Therefore, Grantee understands that refusing or withdrawing Grantee’s consent may affect Grantee’s ability to vest in or realize benefits from the Option and to participate in the Plan. For more information on the consequences of refusing to consent or withdrawal of consent, Grantee understands that he or she may contact the Company’s human resources representative.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Section 24.</w:t>
      </w:r>
    </w:p>
    <w:p>
      <w:pPr>
        <w:pStyle w:val="TextBody"/>
        <w:bidi w:val="0"/>
        <w:spacing w:before="240" w:after="240"/>
        <w:jc w:val="both"/>
        <w:rPr/>
      </w:pPr>
      <w:r>
        <w:rPr>
          <w:rFonts w:ascii="Times New Roman" w:hAnsi="Times New Roman"/>
          <w:color w:val="000000"/>
          <w:sz w:val="20"/>
          <w:u w:val="single"/>
        </w:rPr>
        <w:t>No Entitlement for Claims for Compensation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Grantee’s rights, if any, in respect of or in connection with the Option or any other Award are derived solely from the discretionary decision of the Company to permit Grantee to participate in the Plan and to benefit from a discretionary Award. The Plan may be amended, suspended or terminated by the Company at any time, unless otherwise provided in the Plan and this Agreement. By accepting the Option, Grantee expressly acknowledges that there is no obligation on the part of the Company to continue the Plan and/or grant any additional Awards, even if Awards have been granted in the past. All decisions with respect to future grants of Awards, if any, will be at the sole discretion of the Committee.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Option is not intended to replace any pension rights or compensation and is not to be considered compensation or pay of a continuing or recurring nature, or part of Grantee’s normal or expected compensation, and in no way represents any portion of Grantee’s compensation or other remuneration for any purpose, including, but not limited to, calculating any severance, pension or other pay or benefit, and in no event should be considered as compensation or pay for, or relating in any way to, past employment or other services for the Company or any Subsidiary or affiliate. The value of the Option is an extraordinary item that does not constitute compensation or pay of any kind for employment or other services of any kind rendered to the Company or its Subsidiaries or affiliates and which is outside the scope of Grantee’s written employment agreement (if 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Grantee acknowledges that he or she is voluntarily participating in the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Neither the Plan nor the Option or any other Award granted under the Plan shall be deemed to give Grantee a right to remain in the employment of, or other service for, the Company or any Subsidiary or Affiliate in any capacity. The Company reserves the right to terminate Grantee’s employment or other service at any time, with or without cause, and for any reason.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The grant of the Option and Grantee’s participation in the Plan will not be interpreted to form an employment or other service relationship with the Company or any Subsidiary or affiliate.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 The future value of the Shares is unknown, indeterminable and cannot be predicted with certainty and if Grantee vests in the Option and purchases Shares, the value of those Shares may increase or decrease. Grantee also understand that none of the Company or its Subsidiaries or affiliates is responsible for any foreign exchange fluctuation that may affect the value of the Option.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(g) No claim or entitlement to compensation or damages shall arise from forfeiture of the Option resulting from the termination of Grantee’s Service with the Company or any Subsidiary (for any reason whatsoever and whether or not later found to be invalid or in breach of the laws in the jurisdiction where Grantee is employed or providing services, or the terms of Grantee’s employment agreement, if any) and, in consideration of the grant of the Award to which Grantee is not otherwise entitled, Grantee irrevocably agree never to institute any claim against the Company or its Subsidiaries or affiliates, waives Grantee’s ability, if any, to bring any such claim, and releases the Company and its Subsidiaries and affiliates from any such claim; if notwithstanding the foregoing, any such claim is allowed by a court of competent jurisdiction, then, by accepting the Award, Grantee shall be deemed irrevocably to have agreed to not pursue such claim and agree to execute any and all documents necessary to request the withdrawal of such claim.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 Grantee agrees that the Company may require Shares received pursuant to the Option to be held by a broker designated by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Grantee agrees that Grantee’s rights hereunder (if any) shall be subject to set-off by the Company for any valid debts Grantee owes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 Unless otherwise provided in the Plan or this Agreement, or by the Company in its discretion, the Option and the benefits evidenced by this Agreement do not create any entitlement to have the Option transferred to, or assumed by, another company, nor to be exchanged, cashed out or substituted for in connection with any transaction affecting the Shares.</w:t>
      </w:r>
    </w:p>
    <w:p>
      <w:pPr>
        <w:pStyle w:val="TextBody"/>
        <w:bidi w:val="0"/>
        <w:spacing w:before="0" w:after="240"/>
        <w:jc w:val="left"/>
        <w:rPr/>
      </w:pPr>
      <w:r>
        <w:rPr/>
        <w:t> </w:t>
      </w:r>
    </w:p>
    <w:p>
      <w:pPr>
        <w:pStyle w:val="TextBody"/>
        <w:bidi w:val="0"/>
        <w:spacing w:before="240" w:after="24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hereto have executed this Agreement as of the date first set forth above.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BIOATLA,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[Name]</w:t>
      </w:r>
    </w:p>
    <w:p>
      <w:pPr>
        <w:pStyle w:val="TextBody"/>
        <w:bidi w:val="0"/>
        <w:jc w:val="left"/>
        <w:rPr>
          <w:rFonts w:ascii="Times New Roman" w:hAnsi="Times New Roman"/>
          <w:color w:val="000000"/>
          <w:sz w:val="20"/>
        </w:rPr>
      </w:pPr>
      <w:r>
        <w:rPr>
          <w:rFonts w:ascii="Times New Roman" w:hAnsi="Times New Roman"/>
          <w:color w:val="000000"/>
          <w:sz w:val="20"/>
        </w:rPr>
        <w:t>[Title]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GRANTEE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_____________________________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[Name]</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4" w:name="bcab-ex23_1.htm"/>
      <w:bookmarkStart w:id="55" w:name="ksbcabex23_1"/>
      <w:bookmarkEnd w:id="54"/>
      <w:bookmarkEnd w:id="55"/>
      <w:r>
        <w:rPr>
          <w:rFonts w:ascii="Times New Roman" w:hAnsi="Times New Roman"/>
          <w:b/>
          <w:color w:val="000000"/>
          <w:sz w:val="20"/>
        </w:rPr>
        <w:t>Exhibit 23.1</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Consent of Independent Registered Public Accounting Firm</w:t>
      </w:r>
    </w:p>
    <w:p>
      <w:pPr>
        <w:pStyle w:val="TextBody"/>
        <w:bidi w:val="0"/>
        <w:jc w:val="left"/>
        <w:rPr>
          <w:rFonts w:ascii="Times New Roman" w:hAnsi="Times New Roman"/>
          <w:color w:val="000000"/>
          <w:sz w:val="18"/>
        </w:rPr>
      </w:pPr>
      <w:r>
        <w:rPr>
          <w:rFonts w:ascii="Times New Roman" w:hAnsi="Times New Roman"/>
          <w:color w:val="000000"/>
          <w:sz w:val="18"/>
        </w:rPr>
        <w:t>We consent to the incorporation by reference in the following Registration Statements: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Registration Statement (Form S-3 Nos. 333-262528 and 333-269148) of BioAtla, Inc.,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Registration Statement (Form S-8 Nos. 333-263120, 333-254673, 333-251520 and 333-270802) pertaining to the 2020 Equity Incentive Plan and Employee Stock Purchase Plan of BioAtla, Inc.; </w:t>
      </w:r>
    </w:p>
    <w:p>
      <w:pPr>
        <w:pStyle w:val="TextBody"/>
        <w:bidi w:val="0"/>
        <w:jc w:val="left"/>
        <w:rPr>
          <w:rFonts w:ascii="Times New Roman" w:hAnsi="Times New Roman"/>
          <w:color w:val="000000"/>
          <w:sz w:val="18"/>
        </w:rPr>
      </w:pPr>
      <w:r>
        <w:rPr>
          <w:rFonts w:ascii="Times New Roman" w:hAnsi="Times New Roman"/>
          <w:color w:val="000000"/>
          <w:sz w:val="18"/>
        </w:rPr>
        <w:t>of our reports dated March 26, 2024, with respect to the financial statements of BioAtla, Inc. included in this Annual Report (Form 10-K) of BioAtla, Inc. for the year ended December 31, 2023.</w:t>
      </w:r>
    </w:p>
    <w:p>
      <w:pPr>
        <w:pStyle w:val="TextBody"/>
        <w:bidi w:val="0"/>
        <w:jc w:val="left"/>
        <w:rPr>
          <w:rFonts w:ascii="Times New Roman" w:hAnsi="Times New Roman"/>
          <w:color w:val="000000"/>
          <w:sz w:val="18"/>
        </w:rPr>
      </w:pPr>
      <w:r>
        <w:rPr>
          <w:rFonts w:ascii="Times New Roman" w:hAnsi="Times New Roman"/>
          <w:color w:val="000000"/>
          <w:sz w:val="18"/>
        </w:rPr>
        <w:t>/s/ Ernst &amp; Young LLP</w:t>
      </w:r>
    </w:p>
    <w:p>
      <w:pPr>
        <w:pStyle w:val="TextBody"/>
        <w:bidi w:val="0"/>
        <w:jc w:val="left"/>
        <w:rPr>
          <w:rFonts w:ascii="Times New Roman" w:hAnsi="Times New Roman"/>
          <w:sz w:val="20"/>
        </w:rPr>
      </w:pPr>
      <w:r>
        <w:rPr>
          <w:rFonts w:ascii="Times New Roman" w:hAnsi="Times New Roman"/>
          <w:color w:val="000000"/>
          <w:sz w:val="18"/>
        </w:rPr>
        <w:t>San Diego, California</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March 26, 2024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bcab-ex31_1.htm"/>
      <w:bookmarkStart w:id="57" w:name="ksbcabex31_1"/>
      <w:bookmarkEnd w:id="56"/>
      <w:bookmarkEnd w:id="57"/>
      <w:r>
        <w:rPr>
          <w:rFonts w:ascii="Times New Roman" w:hAnsi="Times New Roman"/>
          <w:b/>
          <w:color w:val="000000"/>
          <w:sz w:val="20"/>
        </w:rPr>
        <w:t>Exhibit 31.1</w:t>
      </w:r>
      <w:r>
        <w:br w:type="page"/>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CERTIFICATION OF CHIEF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 Jay M. Short, Ph.D., certify that: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 have reviewed this Annual Report on Form 10-K for the fiscal year ended December 31, 2023 of BioAtla, Inc.;</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jc w:val="left"/>
              <w:rPr/>
            </w:pPr>
            <w:r>
              <w:rPr/>
              <w:t> </w:t>
            </w:r>
          </w:p>
        </w:tc>
      </w:tr>
      <w:tr>
        <w:trPr/>
        <w:tc>
          <w:tcPr>
            <w:tcW w:w="3151" w:type="dxa"/>
            <w:tcBorders/>
            <w:vAlign w:val="center"/>
          </w:tcPr>
          <w:p>
            <w:pPr>
              <w:pStyle w:val="TableContents"/>
              <w:pBdr>
                <w:bottom w:val="single" w:sz="5" w:space="1" w:color="000000"/>
              </w:pBdr>
              <w:bidi w:val="0"/>
              <w:spacing w:before="0" w:after="283"/>
              <w:ind w:left="0" w:right="15" w:hanging="0"/>
              <w:jc w:val="center"/>
              <w:rPr>
                <w:rFonts w:ascii="Times New Roman" w:hAnsi="Times New Roman"/>
                <w:color w:val="000000"/>
                <w:sz w:val="20"/>
              </w:rPr>
            </w:pPr>
            <w:r>
              <w:rPr>
                <w:rFonts w:ascii="Times New Roman" w:hAnsi="Times New Roman"/>
                <w:color w:val="000000"/>
                <w:sz w:val="20"/>
              </w:rPr>
              <w:t>/s/ Jay M. Short, Ph.D.</w:t>
            </w:r>
          </w:p>
        </w:tc>
      </w:tr>
      <w:tr>
        <w:trPr/>
        <w:tc>
          <w:tcPr>
            <w:tcW w:w="3151" w:type="dxa"/>
            <w:tcBorders/>
            <w:vAlign w:val="center"/>
          </w:tcPr>
          <w:p>
            <w:pPr>
              <w:pStyle w:val="TableContents"/>
              <w:bidi w:val="0"/>
              <w:ind w:left="0" w:right="15" w:hanging="0"/>
              <w:jc w:val="center"/>
              <w:rPr>
                <w:rFonts w:ascii="Times New Roman" w:hAnsi="Times New Roman"/>
                <w:color w:val="000000"/>
                <w:sz w:val="20"/>
              </w:rPr>
            </w:pPr>
            <w:r>
              <w:rPr>
                <w:rFonts w:ascii="Times New Roman" w:hAnsi="Times New Roman"/>
                <w:color w:val="000000"/>
                <w:sz w:val="20"/>
              </w:rPr>
              <w:t>Jay M. Short, Ph.D.</w:t>
            </w:r>
          </w:p>
          <w:p>
            <w:pPr>
              <w:pStyle w:val="TableContents"/>
              <w:bidi w:val="0"/>
              <w:ind w:left="0" w:right="15" w:hanging="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ind w:left="0" w:right="15" w:hanging="0"/>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Date: March 26,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8" w:name="bcab-ex31_2.htm"/>
      <w:bookmarkStart w:id="59" w:name="ksbcabex31_2"/>
      <w:bookmarkEnd w:id="58"/>
      <w:bookmarkEnd w:id="59"/>
      <w:r>
        <w:rPr>
          <w:rFonts w:ascii="Times New Roman" w:hAnsi="Times New Roman"/>
          <w:b/>
          <w:color w:val="000000"/>
          <w:sz w:val="20"/>
        </w:rPr>
        <w:t>Exhibit 31.2</w:t>
      </w:r>
      <w:r>
        <w:br w:type="page"/>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CERTIFICATION OF THE CHIEF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 Richard A. Waldron, certify that: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 have reviewed this Annual Report on Form 10-K for the fiscal year ended December 31, 2023 of BioAtla, Inc.;</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283"/>
              <w:jc w:val="left"/>
              <w:rPr/>
            </w:pPr>
            <w:r>
              <w:rPr/>
              <w:t> </w:t>
            </w:r>
          </w:p>
        </w:tc>
      </w:tr>
      <w:tr>
        <w:trPr/>
        <w:tc>
          <w:tcPr>
            <w:tcW w:w="3901" w:type="dxa"/>
            <w:tcBorders/>
            <w:vAlign w:val="center"/>
          </w:tcPr>
          <w:p>
            <w:pPr>
              <w:pStyle w:val="TableContents"/>
              <w:pBdr>
                <w:bottom w:val="single" w:sz="5" w:space="1" w:color="000000"/>
              </w:pBdr>
              <w:bidi w:val="0"/>
              <w:spacing w:before="0" w:after="283"/>
              <w:ind w:left="0" w:right="15" w:hanging="0"/>
              <w:jc w:val="center"/>
              <w:rPr>
                <w:rFonts w:ascii="Times New Roman" w:hAnsi="Times New Roman"/>
                <w:color w:val="000000"/>
                <w:sz w:val="20"/>
              </w:rPr>
            </w:pPr>
            <w:r>
              <w:rPr>
                <w:rFonts w:ascii="Times New Roman" w:hAnsi="Times New Roman"/>
                <w:color w:val="000000"/>
                <w:sz w:val="20"/>
              </w:rPr>
              <w:t>/s/ Richard A. Waldron</w:t>
            </w:r>
          </w:p>
        </w:tc>
      </w:tr>
      <w:tr>
        <w:trPr/>
        <w:tc>
          <w:tcPr>
            <w:tcW w:w="3901" w:type="dxa"/>
            <w:tcBorders/>
            <w:vAlign w:val="center"/>
          </w:tcPr>
          <w:p>
            <w:pPr>
              <w:pStyle w:val="TableContents"/>
              <w:bidi w:val="0"/>
              <w:ind w:left="0" w:right="15" w:hanging="0"/>
              <w:jc w:val="center"/>
              <w:rPr>
                <w:rFonts w:ascii="Times New Roman" w:hAnsi="Times New Roman"/>
                <w:color w:val="000000"/>
                <w:sz w:val="20"/>
              </w:rPr>
            </w:pPr>
            <w:r>
              <w:rPr>
                <w:rFonts w:ascii="Times New Roman" w:hAnsi="Times New Roman"/>
                <w:color w:val="000000"/>
                <w:sz w:val="20"/>
              </w:rPr>
              <w:t>Richard A. Waldron</w:t>
            </w:r>
          </w:p>
          <w:p>
            <w:pPr>
              <w:pStyle w:val="TableContents"/>
              <w:bidi w:val="0"/>
              <w:ind w:left="0" w:right="15" w:hanging="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ind w:left="0" w:right="15" w:hanging="0"/>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Date: March 26,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0" w:name="bcab-ex32_1.htm"/>
      <w:bookmarkStart w:id="61" w:name="ksbcabex32_1"/>
      <w:bookmarkEnd w:id="60"/>
      <w:bookmarkEnd w:id="61"/>
      <w:r>
        <w:rPr>
          <w:rFonts w:ascii="Times New Roman" w:hAnsi="Times New Roman"/>
          <w:b/>
          <w:color w:val="000000"/>
          <w:sz w:val="20"/>
        </w:rPr>
        <w:t>Exhibit 32.1</w:t>
      </w:r>
      <w:r>
        <w:br w:type="page"/>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PURSURANT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connection with the Annual Report on Form 10-K of BioAtla, Inc. (the “Company”) for the period ended December 31, 2023, to which this Certification is attached, as filed with the Securities and Exchange Commission on the date hereof (the “Report”), each of the undersigned officers of the Company herby certifies, pursuant to 18 U.S.C. Section 1350, as adopted pursuant to Section 906 of the Sarbanes-Oxley Act of 2002, that to their respective knowledge: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undersigned have executed this Certification effective as of March 26, 2024</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283"/>
              <w:jc w:val="left"/>
              <w:rPr/>
            </w:pPr>
            <w:r>
              <w:rPr/>
              <w:t> </w:t>
            </w:r>
          </w:p>
        </w:tc>
      </w:tr>
      <w:tr>
        <w:trPr/>
        <w:tc>
          <w:tcPr>
            <w:tcW w:w="3901" w:type="dxa"/>
            <w:tcBorders/>
            <w:vAlign w:val="center"/>
          </w:tcPr>
          <w:p>
            <w:pPr>
              <w:pStyle w:val="TableContents"/>
              <w:pBdr>
                <w:bottom w:val="single" w:sz="5" w:space="1" w:color="000000"/>
              </w:pBdr>
              <w:bidi w:val="0"/>
              <w:spacing w:before="0" w:after="283"/>
              <w:ind w:left="0" w:right="15" w:hanging="0"/>
              <w:jc w:val="center"/>
              <w:rPr>
                <w:rFonts w:ascii="Times New Roman" w:hAnsi="Times New Roman"/>
                <w:color w:val="000000"/>
                <w:sz w:val="20"/>
              </w:rPr>
            </w:pPr>
            <w:r>
              <w:rPr>
                <w:rFonts w:ascii="Times New Roman" w:hAnsi="Times New Roman"/>
                <w:color w:val="000000"/>
                <w:sz w:val="20"/>
              </w:rPr>
              <w:t>/s/ Jay M. Short, Ph.D.</w:t>
            </w:r>
          </w:p>
        </w:tc>
      </w:tr>
      <w:tr>
        <w:trPr/>
        <w:tc>
          <w:tcPr>
            <w:tcW w:w="3901" w:type="dxa"/>
            <w:tcBorders/>
            <w:vAlign w:val="center"/>
          </w:tcPr>
          <w:p>
            <w:pPr>
              <w:pStyle w:val="TableContents"/>
              <w:bidi w:val="0"/>
              <w:ind w:left="0" w:right="15" w:hanging="0"/>
              <w:jc w:val="center"/>
              <w:rPr>
                <w:rFonts w:ascii="Times New Roman" w:hAnsi="Times New Roman"/>
                <w:color w:val="000000"/>
                <w:sz w:val="20"/>
              </w:rPr>
            </w:pPr>
            <w:r>
              <w:rPr>
                <w:rFonts w:ascii="Times New Roman" w:hAnsi="Times New Roman"/>
                <w:color w:val="000000"/>
                <w:sz w:val="20"/>
              </w:rPr>
              <w:t>Jay M. Short, Ph.D.</w:t>
            </w:r>
          </w:p>
          <w:p>
            <w:pPr>
              <w:pStyle w:val="TableContents"/>
              <w:bidi w:val="0"/>
              <w:ind w:left="0" w:right="15" w:hanging="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ind w:left="0" w:right="15" w:hanging="0"/>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3901" w:type="dxa"/>
            <w:tcBorders/>
            <w:vAlign w:val="center"/>
          </w:tcPr>
          <w:p>
            <w:pPr>
              <w:pStyle w:val="TableContents"/>
              <w:bidi w:val="0"/>
              <w:spacing w:before="0" w:after="283"/>
              <w:jc w:val="left"/>
              <w:rPr/>
            </w:pPr>
            <w:r>
              <w:rPr/>
              <w:t> </w:t>
            </w:r>
          </w:p>
        </w:tc>
      </w:tr>
      <w:tr>
        <w:trPr/>
        <w:tc>
          <w:tcPr>
            <w:tcW w:w="3901" w:type="dxa"/>
            <w:tcBorders/>
            <w:vAlign w:val="center"/>
          </w:tcPr>
          <w:p>
            <w:pPr>
              <w:pStyle w:val="TableContents"/>
              <w:pBdr>
                <w:bottom w:val="single" w:sz="5" w:space="1" w:color="000000"/>
              </w:pBdr>
              <w:bidi w:val="0"/>
              <w:spacing w:before="0" w:after="283"/>
              <w:ind w:left="0" w:right="15" w:hanging="0"/>
              <w:jc w:val="center"/>
              <w:rPr>
                <w:rFonts w:ascii="Times New Roman" w:hAnsi="Times New Roman"/>
                <w:color w:val="000000"/>
                <w:sz w:val="20"/>
              </w:rPr>
            </w:pPr>
            <w:r>
              <w:rPr>
                <w:rFonts w:ascii="Times New Roman" w:hAnsi="Times New Roman"/>
                <w:color w:val="000000"/>
                <w:sz w:val="20"/>
              </w:rPr>
              <w:t>/s/ Richard A. Waldron</w:t>
            </w:r>
          </w:p>
        </w:tc>
      </w:tr>
      <w:tr>
        <w:trPr/>
        <w:tc>
          <w:tcPr>
            <w:tcW w:w="3901" w:type="dxa"/>
            <w:tcBorders/>
            <w:vAlign w:val="center"/>
          </w:tcPr>
          <w:p>
            <w:pPr>
              <w:pStyle w:val="TableContents"/>
              <w:bidi w:val="0"/>
              <w:ind w:left="0" w:right="15" w:hanging="0"/>
              <w:jc w:val="center"/>
              <w:rPr>
                <w:rFonts w:ascii="Times New Roman" w:hAnsi="Times New Roman"/>
                <w:color w:val="000000"/>
                <w:sz w:val="20"/>
              </w:rPr>
            </w:pPr>
            <w:r>
              <w:rPr>
                <w:rFonts w:ascii="Times New Roman" w:hAnsi="Times New Roman"/>
                <w:color w:val="000000"/>
                <w:sz w:val="20"/>
              </w:rPr>
              <w:t>Richard A. Waldron</w:t>
            </w:r>
          </w:p>
          <w:p>
            <w:pPr>
              <w:pStyle w:val="TableContents"/>
              <w:bidi w:val="0"/>
              <w:ind w:left="0" w:right="15" w:hanging="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ind w:left="0" w:right="15" w:hanging="0"/>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720"/>
        <w:jc w:val="right"/>
        <w:rPr>
          <w:rFonts w:ascii="Times New Roman" w:hAnsi="Times New Roman"/>
          <w:b/>
          <w:color w:val="000000"/>
          <w:sz w:val="20"/>
        </w:rPr>
      </w:pPr>
      <w:bookmarkStart w:id="62" w:name="bcab-ex97_1.htm"/>
      <w:bookmarkStart w:id="63" w:name="ksbcabex97_1"/>
      <w:bookmarkEnd w:id="62"/>
      <w:bookmarkEnd w:id="63"/>
      <w:r>
        <w:rPr>
          <w:rFonts w:ascii="Times New Roman" w:hAnsi="Times New Roman"/>
          <w:b/>
          <w:color w:val="000000"/>
          <w:sz w:val="20"/>
        </w:rPr>
        <w:t>Exhibit 97.1</w:t>
      </w:r>
      <w:r>
        <w:br w:type="page"/>
      </w:r>
    </w:p>
    <w:p>
      <w:pPr>
        <w:pStyle w:val="TextBody"/>
        <w:bidi w:val="0"/>
        <w:jc w:val="center"/>
        <w:rPr>
          <w:rFonts w:ascii="Times New Roman" w:hAnsi="Times New Roman"/>
          <w:b/>
          <w:caps/>
          <w:color w:val="000000"/>
          <w:sz w:val="20"/>
        </w:rPr>
      </w:pPr>
      <w:r>
        <w:rPr>
          <w:rFonts w:ascii="Times New Roman" w:hAnsi="Times New Roman"/>
          <w:b/>
          <w:caps/>
          <w:color w:val="000000"/>
          <w:sz w:val="20"/>
        </w:rPr>
        <w:t>bioatla,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COMPENSATION RECOVERY POLICY</w:t>
      </w:r>
    </w:p>
    <w:p>
      <w:pPr>
        <w:pStyle w:val="TextBody"/>
        <w:bidi w:val="0"/>
        <w:jc w:val="center"/>
        <w:rPr>
          <w:rFonts w:ascii="Times New Roman" w:hAnsi="Times New Roman"/>
          <w:sz w:val="20"/>
        </w:rPr>
      </w:pPr>
      <w:bookmarkStart w:id="64" w:name="ole_link11"/>
      <w:bookmarkEnd w:id="64"/>
      <w:r>
        <w:rPr>
          <w:rFonts w:ascii="Times New Roman" w:hAnsi="Times New Roman"/>
          <w:b/>
          <w:color w:val="000000"/>
          <w:sz w:val="20"/>
        </w:rPr>
        <w:br/>
      </w:r>
      <w:r>
        <w:rPr>
          <w:rFonts w:ascii="Times New Roman" w:hAnsi="Times New Roman"/>
          <w:color w:val="000000"/>
          <w:sz w:val="20"/>
        </w:rPr>
        <w:t>(Adopted and approved on September 14, 2023</w:t>
        <w:br/>
        <w:t>and effective as of October 2, 2023)</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w:t>
      </w:r>
    </w:p>
    <w:p>
      <w:pPr>
        <w:pStyle w:val="TextBody"/>
        <w:bidi w:val="0"/>
        <w:jc w:val="both"/>
        <w:rPr>
          <w:rFonts w:ascii="Times New Roman" w:hAnsi="Times New Roman"/>
          <w:b/>
          <w:color w:val="000000"/>
          <w:sz w:val="20"/>
        </w:rPr>
      </w:pPr>
      <w:r>
        <w:rPr>
          <w:rFonts w:ascii="Times New Roman" w:hAnsi="Times New Roman"/>
          <w:b/>
          <w:color w:val="000000"/>
          <w:sz w:val="20"/>
        </w:rPr>
        <w:t xml:space="preserve">Purpose </w:t>
      </w:r>
    </w:p>
    <w:p>
      <w:pPr>
        <w:pStyle w:val="TextBody"/>
        <w:bidi w:val="0"/>
        <w:jc w:val="both"/>
        <w:rPr/>
      </w:pPr>
      <w:r>
        <w:rPr/>
        <w:t> </w:t>
      </w:r>
    </w:p>
    <w:p>
      <w:pPr>
        <w:pStyle w:val="TextBody"/>
        <w:bidi w:val="0"/>
        <w:jc w:val="both"/>
        <w:rPr>
          <w:rFonts w:ascii="Times New Roman" w:hAnsi="Times New Roman"/>
          <w:sz w:val="20"/>
        </w:rPr>
      </w:pPr>
      <w:bookmarkStart w:id="65" w:name="docxtextref2"/>
      <w:bookmarkEnd w:id="65"/>
      <w:r>
        <w:rPr>
          <w:rFonts w:ascii="Times New Roman" w:hAnsi="Times New Roman"/>
          <w:color w:val="000000"/>
          <w:sz w:val="20"/>
        </w:rPr>
        <w:t>BioAtla, Inc. (collectively with its subsidiaries, the “</w:t>
      </w:r>
      <w:r>
        <w:rPr>
          <w:rFonts w:ascii="Times New Roman" w:hAnsi="Times New Roman"/>
          <w:b/>
          <w:i/>
          <w:color w:val="000000"/>
          <w:sz w:val="20"/>
        </w:rPr>
        <w:t>Company</w:t>
      </w:r>
      <w:r>
        <w:rPr>
          <w:rFonts w:ascii="Times New Roman" w:hAnsi="Times New Roman"/>
          <w:color w:val="000000"/>
          <w:sz w:val="20"/>
        </w:rPr>
        <w:t>”) is committed to promoting high standards of honest and ethical business conduct and compliance with applicable laws, rules and regulations. As part of this commitment, the Company has adopted this Compensation Recovery Policy (this “</w:t>
      </w:r>
      <w:r>
        <w:rPr>
          <w:rFonts w:ascii="Times New Roman" w:hAnsi="Times New Roman"/>
          <w:b/>
          <w:i/>
          <w:color w:val="000000"/>
          <w:sz w:val="20"/>
        </w:rPr>
        <w:t>Policy</w:t>
      </w:r>
      <w:r>
        <w:rPr>
          <w:rFonts w:ascii="Times New Roman" w:hAnsi="Times New Roman"/>
          <w:color w:val="000000"/>
          <w:sz w:val="20"/>
        </w:rPr>
        <w:t>”). This Policy is designed to comply with Section 10D of the Securities Exchange Act of 1934, as amended (the “</w:t>
      </w:r>
      <w:r>
        <w:rPr>
          <w:rFonts w:ascii="Times New Roman" w:hAnsi="Times New Roman"/>
          <w:b/>
          <w:i/>
          <w:color w:val="000000"/>
          <w:sz w:val="20"/>
        </w:rPr>
        <w:t>Exchange Act</w:t>
      </w:r>
      <w:r>
        <w:rPr>
          <w:rFonts w:ascii="Times New Roman" w:hAnsi="Times New Roman"/>
          <w:color w:val="000000"/>
          <w:sz w:val="20"/>
        </w:rPr>
        <w:t xml:space="preserve">”) and explains when the Company will be required or authorized, as applicable, to seek recovery of Incentive Compensation awarded or paid to a Covered Person. Please refer to </w:t>
      </w:r>
      <w:r>
        <w:rPr>
          <w:rFonts w:ascii="Times New Roman" w:hAnsi="Times New Roman"/>
          <w:color w:val="000000"/>
          <w:sz w:val="20"/>
          <w:u w:val="single"/>
        </w:rPr>
        <w:t>Exhibit A</w:t>
      </w:r>
      <w:r>
        <w:rPr>
          <w:rFonts w:ascii="Times New Roman" w:hAnsi="Times New Roman"/>
          <w:color w:val="000000"/>
          <w:sz w:val="20"/>
        </w:rPr>
        <w:t xml:space="preserve"> attached hereto (the “</w:t>
      </w:r>
      <w:r>
        <w:rPr>
          <w:rFonts w:ascii="Times New Roman" w:hAnsi="Times New Roman"/>
          <w:b/>
          <w:i/>
          <w:color w:val="000000"/>
          <w:sz w:val="20"/>
        </w:rPr>
        <w:t>Definitions Exhibit</w:t>
      </w:r>
      <w:r>
        <w:rPr>
          <w:rFonts w:ascii="Times New Roman" w:hAnsi="Times New Roman"/>
          <w:color w:val="000000"/>
          <w:sz w:val="20"/>
        </w:rPr>
        <w:t>”) for the definitions of capitalized terms used throughout this Policy.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w:t>
      </w:r>
    </w:p>
    <w:p>
      <w:pPr>
        <w:pStyle w:val="TextBody"/>
        <w:bidi w:val="0"/>
        <w:jc w:val="both"/>
        <w:rPr>
          <w:rFonts w:ascii="Times New Roman" w:hAnsi="Times New Roman"/>
          <w:b/>
          <w:color w:val="000000"/>
          <w:sz w:val="20"/>
        </w:rPr>
      </w:pPr>
      <w:r>
        <w:rPr>
          <w:rFonts w:ascii="Times New Roman" w:hAnsi="Times New Roman"/>
          <w:b/>
          <w:color w:val="000000"/>
          <w:sz w:val="20"/>
        </w:rPr>
        <w:t>Miscalculation of Financial Reporting Measure Results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event of a Restatement, the Company will seek to recover, reasonably promptly, all Recoverable Incentive Compensation from a Covered Person. Such recovery, in the case of a Restatement, will be made without regard to any individual knowledge or responsibility related to the Restatement. Notwithstanding the foregoing, if the Company is required to undertake a Restatement, the Company will not be required to recover the Recoverable Incentive Compensation if the Compensation Committee determines it Impracticable to do so, after exercising a normal due process review of all the relevant facts and circumstances.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such Recoverable Incentive Compensation was not awarded or paid on a formulaic basis, the Company will seek to recover the amount that the Compensation Committee determines in good faith should be recouped.</w:t>
      </w:r>
    </w:p>
    <w:p>
      <w:pPr>
        <w:pStyle w:val="TextBody"/>
        <w:bidi w:val="0"/>
        <w:jc w:val="both"/>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3.</w:t>
      </w:r>
    </w:p>
    <w:p>
      <w:pPr>
        <w:pStyle w:val="TextBody"/>
        <w:bidi w:val="0"/>
        <w:jc w:val="left"/>
        <w:rPr>
          <w:rFonts w:ascii="Times New Roman" w:hAnsi="Times New Roman"/>
          <w:b/>
          <w:color w:val="000000"/>
          <w:sz w:val="20"/>
        </w:rPr>
      </w:pPr>
      <w:r>
        <w:rPr>
          <w:rFonts w:ascii="Times New Roman" w:hAnsi="Times New Roman"/>
          <w:b/>
          <w:color w:val="000000"/>
          <w:sz w:val="20"/>
        </w:rPr>
        <w:t>Non-Restatement Related Miscalculations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event of a Non-Restatement Related Miscalculation, the Company may, at the direction of the Compensation Committee, seek recovery of all or a portion of the Recoverable Incentive Compensation from a Covered Person. In addition, the Company may, at the direction of the Compensation Committee, conclude that any unpaid or unvested Incentive Compensation has not been earned and must be forfeited.</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4.</w:t>
      </w:r>
    </w:p>
    <w:p>
      <w:pPr>
        <w:pStyle w:val="TextBody"/>
        <w:bidi w:val="0"/>
        <w:jc w:val="both"/>
        <w:rPr>
          <w:rFonts w:ascii="Times New Roman" w:hAnsi="Times New Roman"/>
          <w:b/>
          <w:color w:val="000000"/>
          <w:sz w:val="20"/>
        </w:rPr>
      </w:pPr>
      <w:r>
        <w:rPr>
          <w:rFonts w:ascii="Times New Roman" w:hAnsi="Times New Roman"/>
          <w:b/>
          <w:color w:val="000000"/>
          <w:sz w:val="20"/>
        </w:rPr>
        <w:t>Legal and Compliance Violations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Compliance with the law and the Company’s Code of Business Conduct and Ethics and other corporate policies is a pre-condition to earning Incentive Compensation. If the Company in its sole discretion concludes that a Covered Person (1) has engaged in Misconduct; or (2) was aware of or willfully blind to Misconduct that occurred in an area over which the Covered Person had supervisory authority, the Company may, at the direction of the Compensation Committee, seek recovery of all or a portion of the Recoverable Incentive Compensation awarded or paid to the Covered Person. In addition, the Company may, at the direction of the Compensation Committee, conclude that any unpaid or unvested Incentive Compensation has not been earned and must be forfeited.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event of Misconduct (whether or not in connection with a Restatement), the Company may seek recovery of Recoverable Incentive Compensation even if the Misconduct did not result in an award or payment greater than would have been awarded or paid absent the Misconduct.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event of Misconduct, in determining whether to seek recovery and the amount, if any, by which the payment or award should be reduced, the Compensation Committee may consider—among other things—the seriousness of the Misconduct, whether the Covered Person was unjustly enriched, whether seeking the recovery would prejudice the Company’s interests in any way, including in a proceeding or investigation, and any other factors it deems relevant to the determination.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w:t>
      </w:r>
    </w:p>
    <w:p>
      <w:pPr>
        <w:pStyle w:val="TextBody"/>
        <w:bidi w:val="0"/>
        <w:jc w:val="both"/>
        <w:rPr>
          <w:rFonts w:ascii="Times New Roman" w:hAnsi="Times New Roman"/>
          <w:b/>
          <w:color w:val="000000"/>
          <w:sz w:val="20"/>
        </w:rPr>
      </w:pPr>
      <w:r>
        <w:rPr>
          <w:rFonts w:ascii="Times New Roman" w:hAnsi="Times New Roman"/>
          <w:b/>
          <w:color w:val="000000"/>
          <w:sz w:val="20"/>
        </w:rPr>
        <w:t>Other Actions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Compensation Committee may, subject to applicable law, seek recovery in the manner it chooses, including by seeking reimbursement from the Covered Person of all or part of the compensation awarded or paid, by electing to withhold unpaid compensation, by set-off, or by rescinding or canceling unvested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reasonable exercise of its business judgment under this Policy, the Compensation Committee may in its sole discretion determine whether and to what extent additional action is appropriate to address the circumstances surrounding a Restatement, a Non-Restatement Related Miscalculation, or Misconduct to minimize the likelihood of any recurrence and to impose such other discipline as it deems appropriate.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6.</w:t>
      </w:r>
    </w:p>
    <w:p>
      <w:pPr>
        <w:pStyle w:val="TextBody"/>
        <w:bidi w:val="0"/>
        <w:jc w:val="both"/>
        <w:rPr>
          <w:rFonts w:ascii="Times New Roman" w:hAnsi="Times New Roman"/>
          <w:b/>
          <w:color w:val="000000"/>
          <w:sz w:val="20"/>
        </w:rPr>
      </w:pPr>
      <w:r>
        <w:rPr>
          <w:rFonts w:ascii="Times New Roman" w:hAnsi="Times New Roman"/>
          <w:b/>
          <w:color w:val="000000"/>
          <w:sz w:val="20"/>
        </w:rPr>
        <w:t>No Indemnification or Reimbursement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the terms of any other policy, program, agreement or arrangement, in no event will the Company or any of its affiliates indemnify or reimburse a Covered Person for any loss under this Policy and in no event will the Company or any of its affiliates pay premiums on any insurance policy that would cover a Covered Person’s potential obligations with respect to Recoverable Incentive Compensation under this Policy.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w:t>
      </w:r>
    </w:p>
    <w:p>
      <w:pPr>
        <w:pStyle w:val="TextBody"/>
        <w:bidi w:val="0"/>
        <w:jc w:val="both"/>
        <w:rPr>
          <w:rFonts w:ascii="Times New Roman" w:hAnsi="Times New Roman"/>
          <w:b/>
          <w:color w:val="000000"/>
          <w:sz w:val="20"/>
        </w:rPr>
      </w:pPr>
      <w:r>
        <w:rPr>
          <w:rFonts w:ascii="Times New Roman" w:hAnsi="Times New Roman"/>
          <w:b/>
          <w:color w:val="000000"/>
          <w:sz w:val="20"/>
        </w:rPr>
        <w:t>Administration of Policy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Compensation Committee will have full authority to administer this Policy. The Compensation Committee will, subject to the provisions of this Policy and Rule 10D-1 of the Exchange Act, and the Company’s applicable exchange listing standards, make such determinations and interpretations and take such actions in connection with this Policy as it deems necessary, appropriate or advisable. All determinations and interpretations made by the Compensation Committee will be final, binding and conclusive.</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w:t>
      </w:r>
    </w:p>
    <w:p>
      <w:pPr>
        <w:pStyle w:val="TextBody"/>
        <w:bidi w:val="0"/>
        <w:jc w:val="both"/>
        <w:rPr>
          <w:rFonts w:ascii="Times New Roman" w:hAnsi="Times New Roman"/>
          <w:b/>
          <w:color w:val="000000"/>
          <w:sz w:val="20"/>
        </w:rPr>
      </w:pPr>
      <w:r>
        <w:rPr>
          <w:rFonts w:ascii="Times New Roman" w:hAnsi="Times New Roman"/>
          <w:b/>
          <w:color w:val="000000"/>
          <w:sz w:val="20"/>
        </w:rPr>
        <w:t>Other Claims and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remedies under this Policy are in addition to, and not in lieu of, any legal and equitable claims the Company or any of its affiliates may have or any actions that may be imposed by law enforcement agencies, regulators, administrative bodies, or other authorities. Further, the exercise by the Compensation Committee of any rights pursuant to this Policy will not impact any other rights that the Company or any of its affiliates may have with respect to any Covered Person subject to this Policy.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9.</w:t>
      </w:r>
    </w:p>
    <w:p>
      <w:pPr>
        <w:pStyle w:val="TextBody"/>
        <w:bidi w:val="0"/>
        <w:jc w:val="both"/>
        <w:rPr>
          <w:rFonts w:ascii="Times New Roman" w:hAnsi="Times New Roman"/>
          <w:b/>
          <w:color w:val="000000"/>
          <w:sz w:val="20"/>
        </w:rPr>
      </w:pPr>
      <w:r>
        <w:rPr>
          <w:rFonts w:ascii="Times New Roman" w:hAnsi="Times New Roman"/>
          <w:b/>
          <w:color w:val="000000"/>
          <w:sz w:val="20"/>
        </w:rPr>
        <w:t>Acknowledgement by Covered Persons; Condition to Eligibility for Incentive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will provide notice and seek acknowledgement of this Policy, in substantially the form included as </w:t>
      </w:r>
      <w:r>
        <w:rPr>
          <w:rFonts w:ascii="Times New Roman" w:hAnsi="Times New Roman"/>
          <w:color w:val="000000"/>
          <w:sz w:val="20"/>
          <w:u w:val="single"/>
        </w:rPr>
        <w:t>Exhibit B</w:t>
      </w:r>
      <w:r>
        <w:rPr>
          <w:rFonts w:ascii="Times New Roman" w:hAnsi="Times New Roman"/>
          <w:color w:val="000000"/>
          <w:sz w:val="20"/>
        </w:rPr>
        <w:t xml:space="preserve"> attached hereto, from each Covered Person, provided that the failure to provide such notice or obtain such acknowledgement will have no impact on the applicability or enforceability of this Policy. After the Effective Date, the Company must be in receipt of a Covered Person's acknowledgement as a condition to such Covered Person’s eligibility to receive Incentive Compensation. All Incentive Compensation subject to this Policy will not be earned, even if already paid, until the Policy ceases to apply to such Incentive Compensation and any other vesting conditions applicable to such Incentive Compensation are satisfied.</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10.</w:t>
      </w:r>
    </w:p>
    <w:p>
      <w:pPr>
        <w:pStyle w:val="TextBody"/>
        <w:bidi w:val="0"/>
        <w:jc w:val="both"/>
        <w:rPr>
          <w:rFonts w:ascii="Times New Roman" w:hAnsi="Times New Roman"/>
          <w:b/>
          <w:color w:val="000000"/>
          <w:sz w:val="20"/>
        </w:rPr>
      </w:pPr>
      <w:r>
        <w:rPr>
          <w:rFonts w:ascii="Times New Roman" w:hAnsi="Times New Roman"/>
          <w:b/>
          <w:color w:val="000000"/>
          <w:sz w:val="20"/>
        </w:rPr>
        <w:t>Amendment; Termination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or the Compensation Committee may amend or terminate this Policy at any time.</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11.</w:t>
      </w:r>
    </w:p>
    <w:p>
      <w:pPr>
        <w:pStyle w:val="TextBody"/>
        <w:bidi w:val="0"/>
        <w:jc w:val="both"/>
        <w:rPr>
          <w:rFonts w:ascii="Times New Roman" w:hAnsi="Times New Roman"/>
          <w:b/>
          <w:color w:val="000000"/>
          <w:sz w:val="20"/>
        </w:rPr>
      </w:pPr>
      <w:r>
        <w:rPr>
          <w:rFonts w:ascii="Times New Roman" w:hAnsi="Times New Roman"/>
          <w:b/>
          <w:color w:val="000000"/>
          <w:sz w:val="20"/>
        </w:rPr>
        <w:t>Effectiveness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Except as otherwise determined in writing by the Compensation Committee, this Policy will apply to any Incentive Compensation that (a) in the case of any Restatement, is Received by a Covered Person on or after the Effective Date, and (b) in the case of any Non-Restatement Related Miscalculation or Misconduct, is awarded or paid to a Covered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both"/>
        <w:rPr>
          <w:rFonts w:ascii="Times New Roman" w:hAnsi="Times New Roman"/>
          <w:sz w:val="20"/>
        </w:rPr>
      </w:pPr>
      <w:r>
        <w:rPr>
          <w:rFonts w:ascii="Times New Roman" w:hAnsi="Times New Roman"/>
          <w:color w:val="000000"/>
          <w:sz w:val="20"/>
        </w:rPr>
        <w:t>Person on or after the Effective Date. Further, as of the Effective Date, this Policy amends and supersedes in their entirety any prior Recovery of Incentive Compensation Policy and any recoupment provisions which appear in a Covered Person’s equity award agreements or otherwise (the “</w:t>
      </w:r>
      <w:r>
        <w:rPr>
          <w:rFonts w:ascii="Times New Roman" w:hAnsi="Times New Roman"/>
          <w:b/>
          <w:i/>
          <w:color w:val="000000"/>
          <w:sz w:val="20"/>
        </w:rPr>
        <w:t>Prior Policies</w:t>
      </w:r>
      <w:r>
        <w:rPr>
          <w:rFonts w:ascii="Times New Roman" w:hAnsi="Times New Roman"/>
          <w:color w:val="000000"/>
          <w:sz w:val="20"/>
        </w:rPr>
        <w:t>”). Notwithstanding the foregoing, the Prior Policies shall remain in full force and effect as to any compensation that, without the existence, and satisfaction, of conditions as set forth in the Prior Policies, may otherwise have been deemed earned prior to the Effective Date. This Policy will survive and continue notwithstanding any termination of a Covered Person’s employment with the Company and its affiliates.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12.</w:t>
      </w:r>
    </w:p>
    <w:p>
      <w:pPr>
        <w:pStyle w:val="TextBody"/>
        <w:bidi w:val="0"/>
        <w:jc w:val="both"/>
        <w:rPr>
          <w:rFonts w:ascii="Times New Roman" w:hAnsi="Times New Roman"/>
          <w:b/>
          <w:color w:val="000000"/>
          <w:sz w:val="20"/>
        </w:rPr>
      </w:pPr>
      <w:r>
        <w:rPr>
          <w:rFonts w:ascii="Times New Roman" w:hAnsi="Times New Roman"/>
          <w:b/>
          <w:color w:val="000000"/>
          <w:sz w:val="20"/>
        </w:rPr>
        <w:t>Successors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Policy shall be binding and enforceable against all Covered Persons and their successors, beneficiaries, heirs, executors, administrators, or other legal representatives.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13.</w:t>
      </w:r>
    </w:p>
    <w:p>
      <w:pPr>
        <w:pStyle w:val="TextBody"/>
        <w:bidi w:val="0"/>
        <w:jc w:val="both"/>
        <w:rPr>
          <w:rFonts w:ascii="Times New Roman" w:hAnsi="Times New Roman"/>
          <w:b/>
          <w:color w:val="000000"/>
          <w:sz w:val="20"/>
        </w:rPr>
      </w:pPr>
      <w:r>
        <w:rPr>
          <w:rFonts w:ascii="Times New Roman" w:hAnsi="Times New Roman"/>
          <w:b/>
          <w:color w:val="000000"/>
          <w:sz w:val="20"/>
        </w:rPr>
        <w:t>Governing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the extent not preempted by U.S. federal law, this Policy will be governed by and construed in accordance with the laws of the State of California, without reference to principles of conflict of laws.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Bioatla, INC.</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COMPENSATION RECOVERY POLICY</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DEFINITIONS EXHIBIT</w:t>
      </w:r>
    </w:p>
    <w:p>
      <w:pPr>
        <w:pStyle w:val="TextBody"/>
        <w:bidi w:val="0"/>
        <w:jc w:val="both"/>
        <w:rPr/>
      </w:pPr>
      <w:r>
        <w:rPr>
          <w:color w:val="000000"/>
        </w:rPr>
        <w:t>“</w:t>
      </w:r>
      <w:r>
        <w:rPr>
          <w:rFonts w:ascii="Times New Roman" w:hAnsi="Times New Roman"/>
          <w:b/>
          <w:i/>
          <w:color w:val="000000"/>
          <w:sz w:val="20"/>
        </w:rPr>
        <w:t>Applicable Period</w:t>
      </w:r>
      <w:r>
        <w:rPr>
          <w:rFonts w:ascii="Times New Roman" w:hAnsi="Times New Roman"/>
          <w:color w:val="000000"/>
          <w:sz w:val="20"/>
        </w:rPr>
        <w:t>” means (a) in the case of any Restatement, the three completed fiscal years of the Company immediately preceding the earlier of (i) the date the Board, a committee of the Board, or the officer or officers of the Company authorized to take such action if Board action is not required, concludes (or reasonably should have concluded) that a Restatement is required or (ii) the date a court, regulator, or other legally authorized body directs the Company to prepare a Restatement, and (b) in the case of any Non-Restatement Related Miscalculation or Misconduct, such period as the Compensation Committee or Board determines to be appropriate in light of the scope and nature of the Non-Restatement Related Miscalculation or Misconduct. The “Applicable Period” also includes any transition period (that results from a change in the Company’s fiscal year) within or immediately following the three completed fiscal years identified in the preceding sentence.</w:t>
      </w:r>
    </w:p>
    <w:p>
      <w:pPr>
        <w:pStyle w:val="TextBody"/>
        <w:bidi w:val="0"/>
        <w:jc w:val="both"/>
        <w:rPr/>
      </w:pPr>
      <w:r>
        <w:rPr/>
        <w:t> </w:t>
      </w:r>
    </w:p>
    <w:p>
      <w:pPr>
        <w:pStyle w:val="TextBody"/>
        <w:bidi w:val="0"/>
        <w:jc w:val="both"/>
        <w:rPr/>
      </w:pPr>
      <w:r>
        <w:rPr>
          <w:color w:val="000000"/>
        </w:rPr>
        <w:t>“</w:t>
      </w:r>
      <w:r>
        <w:rPr>
          <w:rFonts w:ascii="Times New Roman" w:hAnsi="Times New Roman"/>
          <w:b/>
          <w:i/>
          <w:color w:val="000000"/>
          <w:sz w:val="20"/>
        </w:rPr>
        <w:t>Board</w:t>
      </w:r>
      <w:r>
        <w:rPr>
          <w:rFonts w:ascii="Times New Roman" w:hAnsi="Times New Roman"/>
          <w:color w:val="000000"/>
          <w:sz w:val="20"/>
        </w:rPr>
        <w:t>” means the Board of Directors of the Company.</w:t>
      </w:r>
    </w:p>
    <w:p>
      <w:pPr>
        <w:pStyle w:val="TextBody"/>
        <w:bidi w:val="0"/>
        <w:jc w:val="both"/>
        <w:rPr/>
      </w:pPr>
      <w:r>
        <w:rPr/>
        <w:t> </w:t>
      </w:r>
    </w:p>
    <w:p>
      <w:pPr>
        <w:pStyle w:val="TextBody"/>
        <w:bidi w:val="0"/>
        <w:jc w:val="both"/>
        <w:rPr/>
      </w:pPr>
      <w:r>
        <w:rPr>
          <w:color w:val="000000"/>
        </w:rPr>
        <w:t>“</w:t>
      </w:r>
      <w:r>
        <w:rPr>
          <w:rFonts w:ascii="Times New Roman" w:hAnsi="Times New Roman"/>
          <w:b/>
          <w:i/>
          <w:color w:val="000000"/>
          <w:sz w:val="20"/>
        </w:rPr>
        <w:t>Compensation Committee</w:t>
      </w:r>
      <w:r>
        <w:rPr>
          <w:rFonts w:ascii="Times New Roman" w:hAnsi="Times New Roman"/>
          <w:color w:val="000000"/>
          <w:sz w:val="20"/>
        </w:rPr>
        <w:t>” means the Company’s committee of independent directors responsible for executive compensation decisions, or in the absence of such a committee, a majority of the independent directors serving on the Board.</w:t>
      </w:r>
    </w:p>
    <w:p>
      <w:pPr>
        <w:pStyle w:val="TextBody"/>
        <w:bidi w:val="0"/>
        <w:jc w:val="both"/>
        <w:rPr/>
      </w:pPr>
      <w:r>
        <w:rPr/>
        <w:t> </w:t>
      </w:r>
    </w:p>
    <w:p>
      <w:pPr>
        <w:pStyle w:val="TextBody"/>
        <w:bidi w:val="0"/>
        <w:jc w:val="both"/>
        <w:rPr/>
      </w:pPr>
      <w:bookmarkStart w:id="66" w:name="ole_link8"/>
      <w:bookmarkEnd w:id="66"/>
      <w:r>
        <w:rPr>
          <w:color w:val="000000"/>
        </w:rPr>
        <w:t>“</w:t>
      </w:r>
      <w:r>
        <w:rPr>
          <w:rFonts w:ascii="Times New Roman" w:hAnsi="Times New Roman"/>
          <w:b/>
          <w:i/>
          <w:color w:val="000000"/>
          <w:sz w:val="20"/>
        </w:rPr>
        <w:t>Covered Person</w:t>
      </w:r>
      <w:r>
        <w:rPr>
          <w:rFonts w:ascii="Times New Roman" w:hAnsi="Times New Roman"/>
          <w:color w:val="000000"/>
          <w:sz w:val="20"/>
        </w:rPr>
        <w:t>” means (a) in the case of any Restatement, any person who is, or was at any time, during the Applicable Period, an Executive Officer of the Company, and (b) in the case of any Non-Restatement Related Miscalculation or Misconduct, any person who was an Executive Officer at the time of the Non-Restatement Related Miscalculation or Misconduct. For the avoidance of doubt, a Covered Person may include a former Executive Officer that left the Company, retired, or transitioned to an employee role (including after serving as an Executive Officer in an interim capacity) during the Applicable Period.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Effective Date</w:t>
      </w:r>
      <w:r>
        <w:rPr>
          <w:rFonts w:ascii="Times New Roman" w:hAnsi="Times New Roman"/>
          <w:color w:val="000000"/>
          <w:sz w:val="20"/>
        </w:rPr>
        <w:t>” means October 2, 2023.</w:t>
      </w:r>
    </w:p>
    <w:p>
      <w:pPr>
        <w:pStyle w:val="TextBody"/>
        <w:bidi w:val="0"/>
        <w:jc w:val="both"/>
        <w:rPr/>
      </w:pPr>
      <w:r>
        <w:rPr/>
        <w:t> </w:t>
      </w:r>
    </w:p>
    <w:p>
      <w:pPr>
        <w:pStyle w:val="TextBody"/>
        <w:bidi w:val="0"/>
        <w:jc w:val="both"/>
        <w:rPr/>
      </w:pPr>
      <w:r>
        <w:rPr>
          <w:color w:val="000000"/>
        </w:rPr>
        <w:t>“</w:t>
      </w:r>
      <w:r>
        <w:rPr>
          <w:rFonts w:ascii="Times New Roman" w:hAnsi="Times New Roman"/>
          <w:b/>
          <w:i/>
          <w:color w:val="000000"/>
          <w:sz w:val="20"/>
        </w:rPr>
        <w:t>Executive Officer</w:t>
      </w:r>
      <w:r>
        <w:rPr>
          <w:rFonts w:ascii="Times New Roman" w:hAnsi="Times New Roman"/>
          <w:color w:val="000000"/>
          <w:sz w:val="20"/>
        </w:rPr>
        <w:t>” means the Company’s president, principal executive officer, principal financial officer, principal accounting officer (or if there is no such accounting officer, the controller), any vice-president in charge of a principal business unit, division, or function (such as sales, administration, or finance), any other officer who performs a policy-making function, or any other person (including an officer of the Company’s parent(s) or subsidiaries) who performs similar policy-making functions for the Company.</w:t>
      </w:r>
    </w:p>
    <w:p>
      <w:pPr>
        <w:pStyle w:val="TextBody"/>
        <w:bidi w:val="0"/>
        <w:jc w:val="both"/>
        <w:rPr/>
      </w:pPr>
      <w:r>
        <w:rPr/>
        <w:t> </w:t>
      </w:r>
    </w:p>
    <w:p>
      <w:pPr>
        <w:pStyle w:val="TextBody"/>
        <w:bidi w:val="0"/>
        <w:jc w:val="both"/>
        <w:rPr/>
      </w:pPr>
      <w:r>
        <w:rPr>
          <w:color w:val="000000"/>
        </w:rPr>
        <w:t>“</w:t>
      </w:r>
      <w:r>
        <w:rPr>
          <w:rFonts w:ascii="Times New Roman" w:hAnsi="Times New Roman"/>
          <w:b/>
          <w:i/>
          <w:color w:val="000000"/>
          <w:sz w:val="20"/>
        </w:rPr>
        <w:t>Financial Reporting Measure</w:t>
      </w:r>
      <w:r>
        <w:rPr>
          <w:rFonts w:ascii="Times New Roman" w:hAnsi="Times New Roman"/>
          <w:color w:val="000000"/>
          <w:sz w:val="20"/>
        </w:rPr>
        <w:t>” means a measure that is determined and presented in accordance with the accounting principles used in preparing the Company’s financial statements (including, but not limited to, “non-GAAP” financial measures, such as those appearing in the Company’s earnings releases or Management Discussion and Analysis), and any measure that is derived wholly or in part from such measure. Stock price and total shareholder return (and any measures derived wholly or in part therefrom) shall be considered Financial Reporting Measures.</w:t>
      </w:r>
    </w:p>
    <w:p>
      <w:pPr>
        <w:pStyle w:val="TextBody"/>
        <w:bidi w:val="0"/>
        <w:jc w:val="both"/>
        <w:rPr/>
      </w:pPr>
      <w:r>
        <w:rPr/>
        <w:t> </w:t>
      </w:r>
    </w:p>
    <w:p>
      <w:pPr>
        <w:pStyle w:val="TextBody"/>
        <w:bidi w:val="0"/>
        <w:jc w:val="both"/>
        <w:rPr/>
      </w:pPr>
      <w:bookmarkStart w:id="67" w:name="ole_link3"/>
      <w:bookmarkEnd w:id="67"/>
      <w:r>
        <w:rPr>
          <w:color w:val="000000"/>
        </w:rPr>
        <w:t>“</w:t>
      </w:r>
      <w:r>
        <w:rPr>
          <w:rFonts w:ascii="Times New Roman" w:hAnsi="Times New Roman"/>
          <w:b/>
          <w:i/>
          <w:color w:val="000000"/>
          <w:sz w:val="20"/>
        </w:rPr>
        <w:t>Impracticable.</w:t>
      </w:r>
      <w:r>
        <w:rPr>
          <w:rFonts w:ascii="Times New Roman" w:hAnsi="Times New Roman"/>
          <w:color w:val="000000"/>
          <w:sz w:val="20"/>
        </w:rPr>
        <w:t xml:space="preserve">” The Compensation Committee may determine in good faith that recovery of Recoverable Incentive Compensation is “Impracticable” (a) in the case of any Restatement, if: (i) pursuing such recovery would violate home country law of the jurisdiction of incorporation of the Company where that law was adopted prior to November 28, 2022 and the Company provides an opinion of home country counsel to that effect acceptable to the Company’s applicable listing exchange; (ii) the direct expense paid to a third party to assist in enforcing this Policy would exceed the Recoverable Incentive Compensation and the Company has (A) made a reasonable attempt to recover such amounts and (B) provided documentation of such attempts to recover to the Company’s applicable listing exchange; or (iii) recovery would likely cause an otherwise tax-qualified retirement plan, under which benefits are broadly </w:t>
      </w:r>
    </w:p>
    <w:p>
      <w:pPr>
        <w:pStyle w:val="TextBody"/>
        <w:bidi w:val="0"/>
        <w:jc w:val="left"/>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available to employees of the Company, to fail to meet the requirements of Section 401(a)(13) or Section 411(a) of the Internal Revenue Code of 1986, as amended, and (b) in the case of any Non-Restatement Related Miscalculation or Misconduct, in its sole discretion, in light of the scope and nature of the Non-Restatement Related Miscalculation or Misconduct. </w:t>
      </w:r>
    </w:p>
    <w:p>
      <w:pPr>
        <w:pStyle w:val="TextBody"/>
        <w:bidi w:val="0"/>
        <w:jc w:val="both"/>
        <w:rPr/>
      </w:pPr>
      <w:r>
        <w:rPr/>
        <w:t> </w:t>
      </w:r>
    </w:p>
    <w:p>
      <w:pPr>
        <w:pStyle w:val="TextBody"/>
        <w:bidi w:val="0"/>
        <w:jc w:val="both"/>
        <w:rPr/>
      </w:pPr>
      <w:r>
        <w:rPr>
          <w:color w:val="000000"/>
        </w:rPr>
        <w:t>“</w:t>
      </w:r>
      <w:r>
        <w:rPr>
          <w:rFonts w:ascii="Times New Roman" w:hAnsi="Times New Roman"/>
          <w:b/>
          <w:i/>
          <w:color w:val="000000"/>
          <w:sz w:val="20"/>
        </w:rPr>
        <w:t>Incentive Compensation</w:t>
      </w:r>
      <w:r>
        <w:rPr>
          <w:rFonts w:ascii="Times New Roman" w:hAnsi="Times New Roman"/>
          <w:color w:val="000000"/>
          <w:sz w:val="20"/>
        </w:rPr>
        <w:t>” means any compensation that is granted, earned, or vested based wholly or in part upon the attainment of a Financial Reporting Measure. Incentive Compensation does not include any base salaries (except with respect to any salary increases earned wholly or in part based on the attainment of a Financial Reporting Measure performance goal); bonuses paid solely at the discretion of the Compensation Committee or Board that are not paid from a “bonus pool” that is determined by satisfying a Financial Reporting Measure performance goal; bonuses paid solely upon satisfying one or more subjective standards and/or completion of a specified employment period; non-equity incentive plan awards earned solely upon satisfying one or more strategic measures or operational measures; and equity awards that vest solely based on the passage of time and/or attaining one or more non-Financial Reporting Measures. Notwithstanding the foregoing, in the case of any Non-Restatement Related Miscalculation or Misconduct, Incentive Compensation will include all forms of cash and equity incentive compensation, including, without limitation, cash bonuses and equity awards that are received or vest solely based on the passage of time and/or attaining one or more non-Financial Reporting Measures.</w:t>
      </w:r>
    </w:p>
    <w:p>
      <w:pPr>
        <w:pStyle w:val="TextBody"/>
        <w:bidi w:val="0"/>
        <w:jc w:val="both"/>
        <w:rPr/>
      </w:pPr>
      <w:r>
        <w:rPr/>
        <w:t> </w:t>
      </w:r>
    </w:p>
    <w:p>
      <w:pPr>
        <w:pStyle w:val="TextBody"/>
        <w:bidi w:val="0"/>
        <w:jc w:val="both"/>
        <w:rPr/>
      </w:pPr>
      <w:r>
        <w:rPr>
          <w:color w:val="000000"/>
        </w:rPr>
        <w:t>“</w:t>
      </w:r>
      <w:r>
        <w:rPr>
          <w:rFonts w:ascii="Times New Roman" w:hAnsi="Times New Roman"/>
          <w:b/>
          <w:i/>
          <w:color w:val="000000"/>
          <w:sz w:val="20"/>
        </w:rPr>
        <w:t>Misconduct</w:t>
      </w:r>
      <w:r>
        <w:rPr>
          <w:rFonts w:ascii="Times New Roman" w:hAnsi="Times New Roman"/>
          <w:color w:val="000000"/>
          <w:sz w:val="20"/>
        </w:rPr>
        <w:t>” shall mean a Covered Person’s (i) commission of any felony or any crime involving fraud, dishonesty or moral turpitude under applicable law; (ii) attempted commission of, or participation in, a fraud or act of dishonesty against the Company; (iii) intentional, material violation of any contract or agreement between the Covered Person and the Company or of any statutory duty owed to the Company; (iv) unauthorized use or disclosure of the Company’s confidential information or trade secrets; or (v) any action or willful inaction that may result in material financial, reputational or other harm to the Company and its affiliates and subsidiaries.</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Non-Restatement Related Miscalculation</w:t>
      </w:r>
      <w:r>
        <w:rPr>
          <w:rFonts w:ascii="Times New Roman" w:hAnsi="Times New Roman"/>
          <w:color w:val="000000"/>
          <w:sz w:val="20"/>
        </w:rPr>
        <w:t>” shall mean a miscalculation that results in an overpayment of Incentive Compensation, which is not related to a Restatement.</w:t>
      </w:r>
    </w:p>
    <w:p>
      <w:pPr>
        <w:pStyle w:val="TextBody"/>
        <w:bidi w:val="0"/>
        <w:jc w:val="both"/>
        <w:rPr/>
      </w:pPr>
      <w:r>
        <w:rPr/>
        <w:t> </w:t>
      </w:r>
    </w:p>
    <w:p>
      <w:pPr>
        <w:pStyle w:val="TextBody"/>
        <w:bidi w:val="0"/>
        <w:jc w:val="both"/>
        <w:rPr/>
      </w:pPr>
      <w:r>
        <w:rPr>
          <w:color w:val="000000"/>
        </w:rPr>
        <w:t>“</w:t>
      </w:r>
      <w:r>
        <w:rPr>
          <w:rFonts w:ascii="Times New Roman" w:hAnsi="Times New Roman"/>
          <w:b/>
          <w:i/>
          <w:color w:val="000000"/>
          <w:sz w:val="20"/>
        </w:rPr>
        <w:t>Received.</w:t>
      </w:r>
      <w:r>
        <w:rPr>
          <w:rFonts w:ascii="Times New Roman" w:hAnsi="Times New Roman"/>
          <w:color w:val="000000"/>
          <w:sz w:val="20"/>
        </w:rPr>
        <w:t>” Incentive Compensation is deemed “Received” in the Company’s fiscal period during which the Financial Reporting Measure specified in the Incentive Compensation award is attained, even if the payment or grant of the Incentive Compensation occurs after the end of that period.</w:t>
      </w:r>
    </w:p>
    <w:p>
      <w:pPr>
        <w:pStyle w:val="TextBody"/>
        <w:bidi w:val="0"/>
        <w:jc w:val="both"/>
        <w:rPr/>
      </w:pPr>
      <w:r>
        <w:rPr/>
        <w:t> </w:t>
      </w:r>
    </w:p>
    <w:p>
      <w:pPr>
        <w:pStyle w:val="TextBody"/>
        <w:bidi w:val="0"/>
        <w:jc w:val="both"/>
        <w:rPr/>
      </w:pPr>
      <w:r>
        <w:rPr>
          <w:color w:val="000000"/>
        </w:rPr>
        <w:t>“</w:t>
      </w:r>
      <w:r>
        <w:rPr>
          <w:rFonts w:ascii="Times New Roman" w:hAnsi="Times New Roman"/>
          <w:b/>
          <w:i/>
          <w:color w:val="000000"/>
          <w:sz w:val="20"/>
        </w:rPr>
        <w:t>Recoverable Incentive Compensation</w:t>
      </w:r>
      <w:r>
        <w:rPr>
          <w:rFonts w:ascii="Times New Roman" w:hAnsi="Times New Roman"/>
          <w:color w:val="000000"/>
          <w:sz w:val="20"/>
        </w:rPr>
        <w:t>” means (a) in the case of any Restatement, the amount of any Incentive Compensation (calculated on a pre-tax basis) Received by a Covered Person during the Applicable Period that is in excess of the amount that otherwise would have been Received if the calculation were based on the Restatement, (b) in the case of any Non-Restatement Related Miscalculation, the amount of any Incentive Compensation (calculated on a pre-tax basis) Received by a Covered Person during the Applicable Period that is in excess of the amount that otherwise would have been Received if the Incentive Compensation was correctly calculated, and (c) in the case of any Misconduct, the amount of any Incentive Compensation (calculated on a pre-tax basis) awarded or paid to a Covered Person during the Applicable Period that the Compensation Committee determines, in its sole discretion, to be appropriate in light of the scope and nature of the Misconduct. For the avoidance of doubt, in the case of any Restatement, Recoverable Incentive Compensation does not include any Incentive Compensation Received by a person (i) before such person began service in a position or capacity meeting the definition of an Executive Officer, (ii) who did not serve as an Executive Officer at any time during the performance period for that Incentive Compensation, or (iii) during any period the Company did not have a class of its securities listed on a national securities exchange or a national securities association. For Incentive Compensation based on (or derived from) stock price or total shareholder return where the amount of Recoverable Incentive Compensation is not subject to mathematical recalculation directly from the information in the applicable Restatement, the amount will be determined by the Compensation Committee based on a reasonable estimate of the effect of the Restatement on the stock price or total shareholder return upon which the Incentive Compensation was Received (in which case, the Company will maintain documentation of such determination of that reasonable estimate and provide such documentation to the Company’s applicable listing exchange).</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both"/>
        <w:rPr/>
      </w:pPr>
      <w:r>
        <w:rPr>
          <w:color w:val="000000"/>
        </w:rPr>
        <w:t>“</w:t>
      </w:r>
      <w:r>
        <w:rPr>
          <w:rFonts w:ascii="Times New Roman" w:hAnsi="Times New Roman"/>
          <w:b/>
          <w:i/>
          <w:color w:val="000000"/>
          <w:sz w:val="20"/>
        </w:rPr>
        <w:t>Restatement</w:t>
      </w:r>
      <w:r>
        <w:rPr>
          <w:rFonts w:ascii="Times New Roman" w:hAnsi="Times New Roman"/>
          <w:color w:val="000000"/>
          <w:sz w:val="20"/>
        </w:rPr>
        <w:t>” means an accounting restatement of any of the Company’s financial statements filed with the Securities and Exchange Commission under the Exchange Act, or the Securities Act of 1933, as amended, due to the Company’s material noncompliance with any financial reporting requirement under U.S. securities laws, regardless of whether the Company or Covered Person misconduct was the cause for such restatement. “Restatement” includes any required accounting restatement to correct 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w:t>
      </w:r>
    </w:p>
    <w:p>
      <w:pPr>
        <w:pStyle w:val="TextBody"/>
        <w:bidi w:val="0"/>
        <w:jc w:val="left"/>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B</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bioatla, INC.</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COMPENSATION recovery POLICY</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ACKNOWLEDGMENT</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bookmarkStart w:id="68" w:name="ole_link5"/>
      <w:bookmarkEnd w:id="68"/>
      <w:r>
        <w:rPr>
          <w:rFonts w:ascii="Times New Roman" w:hAnsi="Times New Roman"/>
          <w:color w:val="000000"/>
          <w:sz w:val="20"/>
        </w:rPr>
        <w:t xml:space="preserve">By signing below, the undersigned acknowledges that they have read and understood, and they agree to be subject to the terms of, the BioAtla, Inc. Compensation Recovery Policy. </w:t>
      </w:r>
    </w:p>
    <w:p>
      <w:pPr>
        <w:pStyle w:val="TextBody"/>
        <w:bidi w:val="0"/>
        <w:spacing w:before="0" w:after="240"/>
        <w:jc w:val="left"/>
        <w:rPr/>
      </w:pPr>
      <w:r>
        <w:rPr/>
        <w:t> </w:t>
      </w:r>
    </w:p>
    <w:tbl>
      <w:tblPr>
        <w:tblW w:w="1952" w:type="dxa"/>
        <w:jc w:val="left"/>
        <w:tblInd w:w="0" w:type="dxa"/>
        <w:tblLayout w:type="fixed"/>
        <w:tblCellMar>
          <w:top w:w="28" w:type="dxa"/>
          <w:left w:w="28" w:type="dxa"/>
          <w:bottom w:w="28" w:type="dxa"/>
          <w:right w:w="28" w:type="dxa"/>
        </w:tblCellMar>
      </w:tblPr>
      <w:tblGrid>
        <w:gridCol w:w="601"/>
        <w:gridCol w:w="1351"/>
      </w:tblGrid>
      <w:tr>
        <w:trPr/>
        <w:tc>
          <w:tcPr>
            <w:tcW w:w="60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60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 xml:space="preserve">Date: </w:t>
            </w:r>
          </w:p>
        </w:tc>
        <w:tc>
          <w:tcPr>
            <w:tcW w:w="135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 xml:space="preserve">Signature: </w:t>
            </w:r>
          </w:p>
        </w:tc>
      </w:tr>
      <w:tr>
        <w:trPr/>
        <w:tc>
          <w:tcPr>
            <w:tcW w:w="601" w:type="dxa"/>
            <w:tcBorders/>
            <w:tcMar>
              <w:top w:w="0" w:type="dxa"/>
              <w:left w:w="0" w:type="dxa"/>
              <w:bottom w:w="0" w:type="dxa"/>
              <w:right w:w="0" w:type="dxa"/>
            </w:tcMar>
            <w:vAlign w:val="center"/>
          </w:tcPr>
          <w:p>
            <w:pPr>
              <w:pStyle w:val="TableContents"/>
              <w:bidi w:val="0"/>
              <w:spacing w:before="0" w:after="240"/>
              <w:jc w:val="left"/>
              <w:rPr/>
            </w:pPr>
            <w:r>
              <w:rPr/>
              <w:t> </w:t>
            </w:r>
          </w:p>
        </w:tc>
        <w:tc>
          <w:tcPr>
            <w:tcW w:w="135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 xml:space="preserve">Printed Name: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26892/000119312520321571/d89083dex31.htm" TargetMode="External"/><Relationship Id="rId5" Type="http://schemas.openxmlformats.org/officeDocument/2006/relationships/hyperlink" Target="https://www.sec.gov/Archives/edgar/data/1826892/000119312524004539/d689996dex31.htm" TargetMode="External"/><Relationship Id="rId6" Type="http://schemas.openxmlformats.org/officeDocument/2006/relationships/hyperlink" Target="https://www.sec.gov/Archives/edgar/data/1826892/000119312520312311/d258427dex41.htm" TargetMode="External"/><Relationship Id="rId7" Type="http://schemas.openxmlformats.org/officeDocument/2006/relationships/hyperlink" Target="https://www.sec.gov/Archives/edgar/data/1826892/000119312520312311/d258427dex42.htm" TargetMode="External"/><Relationship Id="rId8" Type="http://schemas.openxmlformats.org/officeDocument/2006/relationships/hyperlink" Target="https://www.sec.gov/Archives/edgar/data/1826892/000119312520312311/d258427dex101.htm" TargetMode="External"/><Relationship Id="rId9" Type="http://schemas.openxmlformats.org/officeDocument/2006/relationships/hyperlink" Target="https://www.sec.gov/Archives/edgar/data/1826892/000119312520321696/d56161dex992.htm" TargetMode="External"/><Relationship Id="rId10" Type="http://schemas.openxmlformats.org/officeDocument/2006/relationships/hyperlink" Target="https://www.sec.gov/Archives/edgar/data/1826892/000119312520312311/d258427dex103.htm" TargetMode="External"/><Relationship Id="rId11" Type="http://schemas.openxmlformats.org/officeDocument/2006/relationships/hyperlink" Target="https://www.sec.gov/Archives/edgar/data/0001826892/000119312520293235/d258427dex104.htm" TargetMode="External"/><Relationship Id="rId12" Type="http://schemas.openxmlformats.org/officeDocument/2006/relationships/hyperlink" Target="https://www.sec.gov/Archives/edgar/data/0001826892/000119312520293235/d258427dex108.htm" TargetMode="External"/><Relationship Id="rId13" Type="http://schemas.openxmlformats.org/officeDocument/2006/relationships/hyperlink" Target="https://www.sec.gov/Archives/edgar/data/1826892/000119312520312311/d258427dex1011.htm" TargetMode="External"/><Relationship Id="rId14" Type="http://schemas.openxmlformats.org/officeDocument/2006/relationships/hyperlink" Target="https://www.sec.gov/Archives/edgar/data/1826892/000119312520312311/d258427dex1013.htm" TargetMode="External"/><Relationship Id="rId15" Type="http://schemas.openxmlformats.org/officeDocument/2006/relationships/hyperlink" Target="https://www.sec.gov/Archives/edgar/data/1826892/000119312520312311/d258427dex1014.htm" TargetMode="External"/><Relationship Id="rId16" Type="http://schemas.openxmlformats.org/officeDocument/2006/relationships/hyperlink" Target="https://www.sec.gov/Archives/edgar/data/1826892/000119312520312311/d258427dex1015.htm" TargetMode="External"/><Relationship Id="rId17" Type="http://schemas.openxmlformats.org/officeDocument/2006/relationships/hyperlink" Target="https://www.sec.gov/Archives/edgar/data/1826892/000119312520312311/d258427dex1016.htm" TargetMode="External"/><Relationship Id="rId18" Type="http://schemas.openxmlformats.org/officeDocument/2006/relationships/hyperlink" Target="https://www.sec.gov/Archives/edgar/data/1826892/000095017022002303/bcab-ex10_19.htm" TargetMode="External"/><Relationship Id="rId19" Type="http://schemas.openxmlformats.org/officeDocument/2006/relationships/hyperlink" Target="https://www.sec.gov/Archives/edgar/data/1826892/000095017022002303/bcab-ex10_20.htm" TargetMode="External"/><Relationship Id="rId20" Type="http://schemas.openxmlformats.org/officeDocument/2006/relationships/hyperlink" Target="https://www.sec.gov/Archives/edgar/data/1826892/000095017022002303/bcab-ex10_21.htm" TargetMode="External"/><Relationship Id="rId21" Type="http://schemas.openxmlformats.org/officeDocument/2006/relationships/hyperlink" Target="https://www.sec.gov/Archives/edgar/data/1826892/000095017022002303/bcab-ex10_22.htm" TargetMode="External"/><Relationship Id="rId22" Type="http://schemas.openxmlformats.org/officeDocument/2006/relationships/hyperlink" Target="https://www.sec.gov/Archives/edgar/data/1826892/000119312520312311/d258427dex1018.htm" TargetMode="External"/><Relationship Id="rId23" Type="http://schemas.openxmlformats.org/officeDocument/2006/relationships/hyperlink" Target="https://www.sec.gov/Archives/edgar/data/1826892/000119312520312311/d258427dex1019.htm" TargetMode="External"/><Relationship Id="rId24" Type="http://schemas.openxmlformats.org/officeDocument/2006/relationships/hyperlink" Target="https://www.sec.gov/Archives/edgar/data/1826892/000095017022022036/bcab-ex10_2.htm" TargetMode="External"/><Relationship Id="rId25" Type="http://schemas.openxmlformats.org/officeDocument/2006/relationships/hyperlink" Target="https://www.sec.gov/Archives/edgar/data/1826892/000095017023009551/bcab-ex10_24.htm" TargetMode="External"/><Relationship Id="rId26" Type="http://schemas.openxmlformats.org/officeDocument/2006/relationships/hyperlink" Target="https://www.sec.gov/Archives/edgar/data/1826892/000095017022016149/bcab-ex10_1.htm" TargetMode="External"/><Relationship Id="rId27" Type="http://schemas.openxmlformats.org/officeDocument/2006/relationships/hyperlink" Target="https://www.sec.gov/Archives/edgar/data/1826892/000095017022002303/bcab-ex10_26.htm" TargetMode="External"/><Relationship Id="rId28" Type="http://schemas.openxmlformats.org/officeDocument/2006/relationships/hyperlink" Target="https://www.sec.gov/Archives/edgar/data/1826892/000095017022002303/bcab-ex10_27.htm" TargetMode="External"/><Relationship Id="rId29" Type="http://schemas.openxmlformats.org/officeDocument/2006/relationships/hyperlink" Target="https://www.sec.gov/Archives/edgar/data/1826892/000095017022002303/bcab-ex10_28.htm" TargetMode="External"/><Relationship Id="rId30" Type="http://schemas.openxmlformats.org/officeDocument/2006/relationships/hyperlink" Target="https://www.sec.gov/Archives/edgar/data/1826892/000095017023009551/bcab-ex10_31.htm" TargetMode="External"/><Relationship Id="rId31" Type="http://schemas.openxmlformats.org/officeDocument/2006/relationships/hyperlink" Target="https://www.sec.gov/Archives/edgar/data/1826892/000095017022018700/bcab-20220915.htm" TargetMode="External"/><Relationship Id="rId32" Type="http://schemas.openxmlformats.org/officeDocument/2006/relationships/hyperlink" Target="https://www.sec.gov/Archives/edgar/data/1826892/000119312523003550/d437048dex11.htm" TargetMode="External"/><Relationship Id="rId33" Type="http://schemas.openxmlformats.org/officeDocument/2006/relationships/hyperlink" Target="https://www.sec.gov/Archives/edgar/data/1826892/000119312523003550/d437048dex11.htm" TargetMode="External"/><Relationship Id="rId34" Type="http://schemas.openxmlformats.org/officeDocument/2006/relationships/hyperlink" Target="https://www.sec.gov/Archives/edgar/data/1826892/000119312523003550/d437048dex11.htm" TargetMode="External"/><Relationship Id="rId35" Type="http://schemas.openxmlformats.org/officeDocument/2006/relationships/image" Target="media/image3.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107253</Words>
  <Characters>597018</Characters>
  <CharactersWithSpaces>703297</CharactersWithSpaces>
  <Paragraphs>6107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