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880" w:right="1620" w:hanging="3859"/>
        <w:spacing w:after="0" w:line="39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4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BIOATLA,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4920" w:type="dxa"/>
            <w:vAlign w:val="bottom"/>
          </w:tcPr>
          <w:p>
            <w:pPr>
              <w:jc w:val="center"/>
              <w:ind w:right="168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85-1922320</w:t>
            </w:r>
          </w:p>
        </w:tc>
      </w:tr>
      <w:tr>
        <w:trPr>
          <w:trHeight w:val="142"/>
        </w:trPr>
        <w:tc>
          <w:tcPr>
            <w:tcW w:w="4920" w:type="dxa"/>
            <w:vAlign w:val="bottom"/>
          </w:tcPr>
          <w:p>
            <w:pPr>
              <w:jc w:val="center"/>
              <w:ind w:right="1688"/>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760" w:type="dxa"/>
            <w:vAlign w:val="bottom"/>
          </w:tcPr>
          <w:p>
            <w:pPr>
              <w:jc w:val="center"/>
              <w:ind w:left="170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20" w:type="dxa"/>
            <w:vAlign w:val="bottom"/>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76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9"/>
        </w:trPr>
        <w:tc>
          <w:tcPr>
            <w:tcW w:w="4920" w:type="dxa"/>
            <w:vAlign w:val="bottom"/>
          </w:tcPr>
          <w:p>
            <w:pPr>
              <w:jc w:val="center"/>
              <w:ind w:right="1708"/>
              <w:spacing w:after="0"/>
              <w:rPr>
                <w:sz w:val="20"/>
                <w:szCs w:val="20"/>
                <w:color w:val="auto"/>
              </w:rPr>
            </w:pPr>
            <w:r>
              <w:rPr>
                <w:rFonts w:ascii="Times New Roman" w:cs="Times New Roman" w:eastAsia="Times New Roman" w:hAnsi="Times New Roman"/>
                <w:sz w:val="16"/>
                <w:szCs w:val="16"/>
                <w:b w:val="1"/>
                <w:bCs w:val="1"/>
                <w:color w:val="auto"/>
              </w:rPr>
              <w:t>11085 Torreyana Road, San Diego, California</w:t>
            </w:r>
          </w:p>
        </w:tc>
        <w:tc>
          <w:tcPr>
            <w:tcW w:w="27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66"/>
        </w:trPr>
        <w:tc>
          <w:tcPr>
            <w:tcW w:w="4920" w:type="dxa"/>
            <w:vAlign w:val="bottom"/>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6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31"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400" w:firstLine="599"/>
        <w:spacing w:after="0" w:line="280" w:lineRule="auto"/>
        <w:rPr>
          <w:sz w:val="20"/>
          <w:szCs w:val="20"/>
          <w:color w:val="auto"/>
        </w:rPr>
      </w:pPr>
      <w:r>
        <w:rPr>
          <w:rFonts w:ascii="Times New Roman" w:cs="Times New Roman" w:eastAsia="Times New Roman" w:hAnsi="Times New Roman"/>
          <w:sz w:val="16"/>
          <w:szCs w:val="16"/>
          <w:color w:val="auto"/>
        </w:rPr>
        <w:t>As of August 5, 2022, the number of shares of the registrant’s common stock outstanding was 36,304,142 and the number of shares of the registrant’s Class B common stock outstanding was 1,211,959.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760" w:type="dxa"/>
            <w:vAlign w:val="bottom"/>
            <w:gridSpan w:val="27"/>
            <w:vMerge w:val="restart"/>
          </w:tcPr>
          <w:p>
            <w:pPr>
              <w:spacing w:after="0"/>
              <w:rPr>
                <w:sz w:val="20"/>
                <w:szCs w:val="20"/>
                <w:color w:val="auto"/>
              </w:rPr>
            </w:pPr>
            <w:r>
              <w:rPr>
                <w:rFonts w:ascii="Times New Roman" w:cs="Times New Roman" w:eastAsia="Times New Roman" w:hAnsi="Times New Roman"/>
                <w:sz w:val="16"/>
                <w:szCs w:val="16"/>
                <w:color w:val="0000FF"/>
              </w:rPr>
              <w:t>FINANCIAL INFORMATION</w:t>
            </w: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7"/>
        </w:trPr>
        <w:tc>
          <w:tcPr>
            <w:tcW w:w="820" w:type="dxa"/>
            <w:vAlign w:val="bottom"/>
            <w:gridSpan w:val="2"/>
            <w:vMerge w:val="continue"/>
          </w:tcPr>
          <w:p>
            <w:pPr>
              <w:spacing w:after="0"/>
              <w:rPr>
                <w:sz w:val="12"/>
                <w:szCs w:val="12"/>
                <w:color w:val="auto"/>
              </w:rPr>
            </w:pPr>
          </w:p>
        </w:tc>
        <w:tc>
          <w:tcPr>
            <w:tcW w:w="9760" w:type="dxa"/>
            <w:vAlign w:val="bottom"/>
            <w:gridSpan w:val="27"/>
            <w:vMerge w:val="continue"/>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1.</w:t>
            </w:r>
          </w:p>
        </w:tc>
        <w:tc>
          <w:tcPr>
            <w:tcW w:w="140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6"/>
                <w:szCs w:val="16"/>
                <w:color w:val="0000FF"/>
                <w:w w:val="99"/>
              </w:rPr>
              <w:t>Financial Statements:</w:t>
            </w:r>
          </w:p>
        </w:tc>
        <w:tc>
          <w:tcPr>
            <w:tcW w:w="20" w:type="dxa"/>
            <w:vAlign w:val="bottom"/>
            <w:tcBorders>
              <w:top w:val="single" w:sz="8" w:color="0000FF"/>
              <w:bottom w:val="single" w:sz="8" w:color="0000EE"/>
            </w:tcBorders>
          </w:tcPr>
          <w:p>
            <w:pPr>
              <w:spacing w:after="0"/>
              <w:rPr>
                <w:sz w:val="15"/>
                <w:szCs w:val="15"/>
                <w:color w:val="auto"/>
              </w:rPr>
            </w:pPr>
          </w:p>
        </w:tc>
        <w:tc>
          <w:tcPr>
            <w:tcW w:w="600" w:type="dxa"/>
            <w:vAlign w:val="bottom"/>
            <w:tcBorders>
              <w:top w:val="single" w:sz="8" w:color="0000FF"/>
            </w:tcBorders>
            <w:gridSpan w:val="4"/>
          </w:tcPr>
          <w:p>
            <w:pPr>
              <w:spacing w:after="0"/>
              <w:rPr>
                <w:sz w:val="15"/>
                <w:szCs w:val="15"/>
                <w:color w:val="auto"/>
              </w:rPr>
            </w:pPr>
          </w:p>
        </w:tc>
        <w:tc>
          <w:tcPr>
            <w:tcW w:w="7740" w:type="dxa"/>
            <w:vAlign w:val="bottom"/>
            <w:gridSpan w:val="11"/>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gridSpan w:val="23"/>
          </w:tcPr>
          <w:p>
            <w:pPr>
              <w:spacing w:after="0" w:line="169" w:lineRule="exact"/>
              <w:rPr>
                <w:sz w:val="20"/>
                <w:szCs w:val="20"/>
                <w:color w:val="auto"/>
              </w:rPr>
            </w:pPr>
            <w:r>
              <w:rPr>
                <w:rFonts w:ascii="Times New Roman" w:cs="Times New Roman" w:eastAsia="Times New Roman" w:hAnsi="Times New Roman"/>
                <w:sz w:val="16"/>
                <w:szCs w:val="16"/>
                <w:color w:val="0000FF"/>
              </w:rPr>
              <w:t>Condensed Consolidated Balance Sheets as of June 30, 2022 (unaudited) and December 31, 2021</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vMerge w:val="restart"/>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gridSpan w:val="25"/>
          </w:tcPr>
          <w:p>
            <w:pPr>
              <w:spacing w:after="0" w:line="169" w:lineRule="exact"/>
              <w:rPr>
                <w:sz w:val="20"/>
                <w:szCs w:val="20"/>
                <w:color w:val="auto"/>
              </w:rPr>
            </w:pPr>
            <w:r>
              <w:rPr>
                <w:rFonts w:ascii="Times New Roman" w:cs="Times New Roman" w:eastAsia="Times New Roman" w:hAnsi="Times New Roman"/>
                <w:sz w:val="16"/>
                <w:szCs w:val="16"/>
                <w:color w:val="0000FF"/>
              </w:rPr>
              <w:t>Condensed Consolidated Statements of Operations and Comprehensive Loss (unaudited) for the three and six months ended June 30, 2022 and</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30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w w:val="87"/>
              </w:rPr>
              <w:t>2021</w:t>
            </w: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1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520" w:type="dxa"/>
            <w:vAlign w:val="bottom"/>
            <w:gridSpan w:val="25"/>
          </w:tcPr>
          <w:p>
            <w:pPr>
              <w:spacing w:after="0" w:line="155" w:lineRule="exact"/>
              <w:rPr>
                <w:sz w:val="20"/>
                <w:szCs w:val="20"/>
                <w:color w:val="auto"/>
              </w:rPr>
            </w:pPr>
            <w:r>
              <w:rPr>
                <w:rFonts w:ascii="Times New Roman" w:cs="Times New Roman" w:eastAsia="Times New Roman" w:hAnsi="Times New Roman"/>
                <w:sz w:val="16"/>
                <w:szCs w:val="16"/>
                <w:color w:val="0000FF"/>
              </w:rPr>
              <w:t>Condensed Consolidated Statements of Stockholders’ Equity (unaudited) for the three and six months ended June 30, 2022 and 2021</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600" w:type="dxa"/>
            <w:vAlign w:val="bottom"/>
            <w:tcBorders>
              <w:top w:val="single" w:sz="8" w:color="0000EE"/>
            </w:tcBorders>
            <w:gridSpan w:val="21"/>
          </w:tcPr>
          <w:p>
            <w:pPr>
              <w:spacing w:after="0" w:line="169" w:lineRule="exact"/>
              <w:rPr>
                <w:sz w:val="20"/>
                <w:szCs w:val="20"/>
                <w:color w:val="auto"/>
              </w:rPr>
            </w:pPr>
            <w:r>
              <w:rPr>
                <w:rFonts w:ascii="Times New Roman" w:cs="Times New Roman" w:eastAsia="Times New Roman" w:hAnsi="Times New Roman"/>
                <w:sz w:val="16"/>
                <w:szCs w:val="16"/>
                <w:color w:val="0000FF"/>
              </w:rPr>
              <w:t>Condensed Consolidated Statements of Cash Flows (unaudited) for the six months ended June 30, 2022 and 2021</w:t>
            </w:r>
          </w:p>
        </w:tc>
        <w:tc>
          <w:tcPr>
            <w:tcW w:w="880" w:type="dxa"/>
            <w:vAlign w:val="bottom"/>
            <w:gridSpan w:val="2"/>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bottom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6"/>
                <w:szCs w:val="16"/>
                <w:color w:val="0000FF"/>
                <w:w w:val="99"/>
              </w:rPr>
              <w:t>Notes to Condensed Consolidated Financial Statements (unaudited)</w:t>
            </w:r>
          </w:p>
        </w:tc>
        <w:tc>
          <w:tcPr>
            <w:tcW w:w="20" w:type="dxa"/>
            <w:vAlign w:val="bottom"/>
            <w:tcBorders>
              <w:top w:val="single" w:sz="8" w:color="0000FF"/>
              <w:bottom w:val="single" w:sz="8" w:color="0000EE"/>
            </w:tcBorders>
          </w:tcPr>
          <w:p>
            <w:pPr>
              <w:spacing w:after="0"/>
              <w:rPr>
                <w:sz w:val="15"/>
                <w:szCs w:val="15"/>
                <w:color w:val="auto"/>
              </w:rPr>
            </w:pPr>
          </w:p>
        </w:tc>
        <w:tc>
          <w:tcPr>
            <w:tcW w:w="2940" w:type="dxa"/>
            <w:vAlign w:val="bottom"/>
            <w:tcBorders>
              <w:top w:val="single" w:sz="8" w:color="0000FF"/>
            </w:tcBorders>
            <w:gridSpan w:val="3"/>
          </w:tcPr>
          <w:p>
            <w:pPr>
              <w:spacing w:after="0"/>
              <w:rPr>
                <w:sz w:val="15"/>
                <w:szCs w:val="15"/>
                <w:color w:val="auto"/>
              </w:rPr>
            </w:pPr>
          </w:p>
        </w:tc>
        <w:tc>
          <w:tcPr>
            <w:tcW w:w="2180" w:type="dxa"/>
            <w:vAlign w:val="bottom"/>
            <w:gridSpan w:val="3"/>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940" w:type="dxa"/>
            <w:vAlign w:val="bottom"/>
            <w:gridSpan w:val="5"/>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820" w:type="dxa"/>
            <w:vAlign w:val="bottom"/>
            <w:gridSpan w:val="8"/>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Controls and Procedures</w:t>
            </w:r>
          </w:p>
        </w:tc>
        <w:tc>
          <w:tcPr>
            <w:tcW w:w="20" w:type="dxa"/>
            <w:vAlign w:val="bottom"/>
            <w:tcBorders>
              <w:bottom w:val="single" w:sz="8" w:color="0000EE"/>
            </w:tcBorders>
          </w:tcPr>
          <w:p>
            <w:pPr>
              <w:spacing w:after="0"/>
              <w:rPr>
                <w:sz w:val="15"/>
                <w:szCs w:val="15"/>
                <w:color w:val="auto"/>
              </w:rPr>
            </w:pPr>
          </w:p>
        </w:tc>
        <w:tc>
          <w:tcPr>
            <w:tcW w:w="8140" w:type="dxa"/>
            <w:vAlign w:val="bottom"/>
            <w:gridSpan w:val="13"/>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PART II.</w:t>
            </w:r>
          </w:p>
        </w:tc>
        <w:tc>
          <w:tcPr>
            <w:tcW w:w="1700" w:type="dxa"/>
            <w:vAlign w:val="bottom"/>
            <w:tcBorders>
              <w:bottom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6"/>
                <w:szCs w:val="16"/>
                <w:color w:val="0000FF"/>
                <w:w w:val="99"/>
              </w:rPr>
              <w:t>OTHER INFORMATION</w:t>
            </w:r>
          </w:p>
        </w:tc>
        <w:tc>
          <w:tcPr>
            <w:tcW w:w="8060" w:type="dxa"/>
            <w:vAlign w:val="bottom"/>
            <w:gridSpan w:val="12"/>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8560" w:type="dxa"/>
            <w:vAlign w:val="bottom"/>
            <w:gridSpan w:val="17"/>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w w:val="99"/>
              </w:rPr>
              <w:t>Risk Factors</w:t>
            </w:r>
          </w:p>
        </w:tc>
        <w:tc>
          <w:tcPr>
            <w:tcW w:w="20" w:type="dxa"/>
            <w:vAlign w:val="bottom"/>
            <w:tcBorders>
              <w:bottom w:val="single" w:sz="8" w:color="0000EE"/>
            </w:tcBorders>
          </w:tcPr>
          <w:p>
            <w:pPr>
              <w:spacing w:after="0"/>
              <w:rPr>
                <w:sz w:val="15"/>
                <w:szCs w:val="15"/>
                <w:color w:val="auto"/>
              </w:rPr>
            </w:pPr>
          </w:p>
        </w:tc>
        <w:tc>
          <w:tcPr>
            <w:tcW w:w="8920" w:type="dxa"/>
            <w:vAlign w:val="bottom"/>
            <w:gridSpan w:val="19"/>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5840" w:type="dxa"/>
            <w:vAlign w:val="bottom"/>
            <w:gridSpan w:val="9"/>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bottom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7660" w:type="dxa"/>
            <w:vAlign w:val="bottom"/>
            <w:gridSpan w:val="10"/>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Mine Safety Disclosures</w:t>
            </w:r>
          </w:p>
        </w:tc>
        <w:tc>
          <w:tcPr>
            <w:tcW w:w="8160" w:type="dxa"/>
            <w:vAlign w:val="bottom"/>
            <w:gridSpan w:val="14"/>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5.</w:t>
            </w:r>
          </w:p>
        </w:tc>
        <w:tc>
          <w:tcPr>
            <w:tcW w:w="9760" w:type="dxa"/>
            <w:vAlign w:val="bottom"/>
            <w:gridSpan w:val="27"/>
          </w:tcPr>
          <w:p>
            <w:pPr>
              <w:spacing w:after="0" w:line="169" w:lineRule="exact"/>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tcBorders>
              <w:top w:val="single" w:sz="8" w:color="0000FF"/>
            </w:tcBorders>
            <w:gridSpan w:val="4"/>
          </w:tcPr>
          <w:p>
            <w:pPr>
              <w:spacing w:after="0"/>
              <w:rPr>
                <w:sz w:val="15"/>
                <w:szCs w:val="15"/>
                <w:color w:val="auto"/>
              </w:rPr>
            </w:pPr>
          </w:p>
        </w:tc>
        <w:tc>
          <w:tcPr>
            <w:tcW w:w="8580" w:type="dxa"/>
            <w:vAlign w:val="bottom"/>
            <w:gridSpan w:val="18"/>
          </w:tcPr>
          <w:p>
            <w:pPr>
              <w:spacing w:after="0"/>
              <w:rPr>
                <w:sz w:val="15"/>
                <w:szCs w:val="15"/>
                <w:color w:val="auto"/>
              </w:rPr>
            </w:pP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2"/>
        </w:trPr>
        <w:tc>
          <w:tcPr>
            <w:tcW w:w="10580" w:type="dxa"/>
            <w:vAlign w:val="bottom"/>
            <w:gridSpan w:val="29"/>
          </w:tcPr>
          <w:p>
            <w:pPr>
              <w:ind w:left="20"/>
              <w:spacing w:after="0" w:line="169" w:lineRule="exact"/>
              <w:rPr>
                <w:sz w:val="20"/>
                <w:szCs w:val="20"/>
                <w:color w:val="auto"/>
              </w:rPr>
            </w:pPr>
            <w:r>
              <w:rPr>
                <w:rFonts w:ascii="Times New Roman" w:cs="Times New Roman" w:eastAsia="Times New Roman" w:hAnsi="Times New Roman"/>
                <w:sz w:val="16"/>
                <w:szCs w:val="16"/>
                <w:color w:val="0000FF"/>
              </w:rPr>
              <w:t>SIGNATURES</w:t>
            </w:r>
          </w:p>
        </w:tc>
        <w:tc>
          <w:tcPr>
            <w:tcW w:w="66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568"/>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7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202,290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244,979</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18"/>
                <w:szCs w:val="18"/>
                <w:color w:val="auto"/>
              </w:rPr>
            </w:pPr>
          </w:p>
        </w:tc>
      </w:tr>
      <w:tr>
        <w:trPr>
          <w:trHeight w:val="209"/>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207,197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247,292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r>
      <w:tr>
        <w:trPr>
          <w:trHeight w:val="250"/>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213,496</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00" w:type="dxa"/>
            <w:vAlign w:val="bottom"/>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to licensor</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Pr>
          <w:p>
            <w:pPr>
              <w:spacing w:after="0"/>
              <w:rPr>
                <w:sz w:val="18"/>
                <w:szCs w:val="18"/>
                <w:color w:val="auto"/>
              </w:rPr>
            </w:pPr>
          </w:p>
        </w:tc>
      </w:tr>
      <w:tr>
        <w:trPr>
          <w:trHeight w:val="209"/>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43,601</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4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 at</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4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June 30, 2022 and December 31, 2021; 0 shares issued and outstanding at</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3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46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at</w:t>
            </w:r>
          </w:p>
        </w:tc>
        <w:tc>
          <w:tcPr>
            <w:tcW w:w="3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46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June 30, 2022 and December 31, 2021; 35,993,458 shares and 35,799,233</w:t>
            </w:r>
          </w:p>
        </w:tc>
        <w:tc>
          <w:tcPr>
            <w:tcW w:w="30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June 30, 2022 and December 31, 2021</w:t>
            </w: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171"/>
        </w:trPr>
        <w:tc>
          <w:tcPr>
            <w:tcW w:w="746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Class B common stock, $0.0001 par value; 15,368,569 shares authorized at</w:t>
            </w: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46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June 30, 2022 and December 31, 2021; 1,492,059 shares issued and outstanding</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June 30, 2022 and December 31, 2021</w:t>
            </w:r>
          </w:p>
        </w:tc>
        <w:tc>
          <w:tcPr>
            <w:tcW w:w="3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404,427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397,136</w:t>
            </w:r>
          </w:p>
        </w:tc>
        <w:tc>
          <w:tcPr>
            <w:tcW w:w="100" w:type="dxa"/>
            <w:vAlign w:val="bottom"/>
            <w:shd w:val="clear" w:color="auto" w:fill="CFF0FC"/>
          </w:tcPr>
          <w:p>
            <w:pPr>
              <w:spacing w:after="0"/>
              <w:rPr>
                <w:sz w:val="18"/>
                <w:szCs w:val="18"/>
                <w:color w:val="auto"/>
              </w:rPr>
            </w:pPr>
          </w:p>
        </w:tc>
      </w:tr>
      <w:tr>
        <w:trPr>
          <w:trHeight w:val="216"/>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(239,479 )</w:t>
            </w:r>
          </w:p>
        </w:tc>
        <w:tc>
          <w:tcPr>
            <w:tcW w:w="2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(186,319 )</w:t>
            </w:r>
          </w:p>
        </w:tc>
      </w:tr>
      <w:tr>
        <w:trPr>
          <w:trHeight w:val="210"/>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164,952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213,496</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254,422</w:t>
            </w:r>
          </w:p>
        </w:tc>
        <w:tc>
          <w:tcPr>
            <w:tcW w:w="100" w:type="dxa"/>
            <w:vAlign w:val="bottom"/>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-3136900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-3119755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-2562225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512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8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53,401</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(29,055 )</w:t>
            </w:r>
          </w:p>
        </w:tc>
        <w:tc>
          <w:tcPr>
            <w:tcW w:w="22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(30,460 )</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(53,401 )</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(49,257 )</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 and comprehensive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(28,906 )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(30,381 )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(53,160 )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(49,082 )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1"/>
        </w:trPr>
        <w:tc>
          <w:tcPr>
            <w:tcW w:w="5280" w:type="dxa"/>
            <w:vAlign w:val="bottom"/>
          </w:tcPr>
          <w:p>
            <w:pPr>
              <w:ind w:left="20"/>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outstanding, basic and</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37,420,327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33,678,893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37,371,614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33,671,298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2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-1431290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-1431290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-1431290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-1431290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-591185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-591185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-591185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-591185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-282575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-265430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-282575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-265430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-282575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-265430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-282575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-265430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20" w:right="559" w:bottom="1440" w:gutter="0" w:footer="0" w:header="0"/>
        </w:sectPr>
      </w:pPr>
    </w:p>
    <w:bookmarkStart w:id="4" w:name="page5"/>
    <w:bookmarkEnd w:id="4"/>
    <w:p>
      <w:pPr>
        <w:ind w:left="512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780" w:type="dxa"/>
            <w:vAlign w:val="bottom"/>
            <w:gridSpan w:val="3"/>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9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9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4"/>
                <w:szCs w:val="14"/>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35,891,284</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400,622</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(210,573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equity incentive plans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92,692</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stock for Employee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(28,906 )</w:t>
            </w:r>
          </w:p>
        </w:tc>
        <w:tc>
          <w:tcPr>
            <w:tcW w:w="1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(28,906 )</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35,993,458</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404,427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39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20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780" w:type="dxa"/>
            <w:vAlign w:val="bottom"/>
            <w:gridSpan w:val="3"/>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92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92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32,171,560</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305,531</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(109,618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195,916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equity incentive plans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138,461</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stock for Employee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(30,381 )</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(30,381 )</w:t>
            </w:r>
          </w:p>
        </w:tc>
        <w:tc>
          <w:tcPr>
            <w:tcW w:w="0" w:type="dxa"/>
            <w:vAlign w:val="bottom"/>
          </w:tcPr>
          <w:p>
            <w:pPr>
              <w:spacing w:after="0"/>
              <w:rPr>
                <w:sz w:val="1"/>
                <w:szCs w:val="1"/>
                <w:color w:val="auto"/>
              </w:rPr>
            </w:pPr>
          </w:p>
        </w:tc>
      </w:tr>
      <w:tr>
        <w:trPr>
          <w:trHeight w:val="20"/>
        </w:trPr>
        <w:tc>
          <w:tcPr>
            <w:tcW w:w="390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32,315,301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Pr>
          <w:p>
            <w:pPr>
              <w:spacing w:after="0"/>
              <w:rPr>
                <w:sz w:val="17"/>
                <w:szCs w:val="17"/>
                <w:color w:val="auto"/>
              </w:rPr>
            </w:pP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318,019</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ind w:right="3"/>
              <w:spacing w:after="0"/>
              <w:rPr>
                <w:sz w:val="20"/>
                <w:szCs w:val="20"/>
                <w:color w:val="auto"/>
              </w:rPr>
            </w:pPr>
            <w:r>
              <w:rPr>
                <w:rFonts w:ascii="Times New Roman" w:cs="Times New Roman" w:eastAsia="Times New Roman" w:hAnsi="Times New Roman"/>
                <w:sz w:val="16"/>
                <w:szCs w:val="16"/>
                <w:color w:val="auto"/>
              </w:rPr>
              <w:t>(139,999 )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-1799590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-1782445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-1799590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-1782445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-1799590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-1782445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-1799590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-1782445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-1799590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-1782445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-1799590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-1782445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-161925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-161925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-161925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-161925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-161925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-161925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 w:name="page6"/>
    <w:bookmarkEnd w:id="5"/>
    <w:p>
      <w:pPr>
        <w:ind w:left="512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780" w:type="dxa"/>
            <w:vAlign w:val="bottom"/>
            <w:gridSpan w:val="3"/>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9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9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4"/>
                <w:szCs w:val="14"/>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35,799,233</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397,136</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(186,319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equity incentive plans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184,743</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stock for Employee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(202 )</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(202 )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(53,160 )</w:t>
            </w:r>
          </w:p>
        </w:tc>
        <w:tc>
          <w:tcPr>
            <w:tcW w:w="1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(53,160 )</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2022</w:t>
            </w: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35,993,458</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bottom w:val="single" w:sz="8" w:color="auto"/>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404,427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39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0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780" w:type="dxa"/>
            <w:vAlign w:val="bottom"/>
            <w:gridSpan w:val="3"/>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92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92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32,171,560</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300,888</w:t>
            </w: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(90,917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equity incentive plans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138,461</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90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Issuance of common stock for Employee Stock Purchase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Plan</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FF0FC"/>
            </w:tcBorders>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(49,082 )</w:t>
            </w: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(49,082 )</w:t>
            </w:r>
          </w:p>
        </w:tc>
        <w:tc>
          <w:tcPr>
            <w:tcW w:w="0" w:type="dxa"/>
            <w:vAlign w:val="bottom"/>
          </w:tcPr>
          <w:p>
            <w:pPr>
              <w:spacing w:after="0"/>
              <w:rPr>
                <w:sz w:val="1"/>
                <w:szCs w:val="1"/>
                <w:color w:val="auto"/>
              </w:rPr>
            </w:pPr>
          </w:p>
        </w:tc>
      </w:tr>
      <w:tr>
        <w:trPr>
          <w:trHeight w:val="20"/>
        </w:trPr>
        <w:tc>
          <w:tcPr>
            <w:tcW w:w="390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32,315,301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1,492,059</w:t>
            </w:r>
          </w:p>
        </w:tc>
        <w:tc>
          <w:tcPr>
            <w:tcW w:w="100" w:type="dxa"/>
            <w:vAlign w:val="bottom"/>
          </w:tcPr>
          <w:p>
            <w:pPr>
              <w:spacing w:after="0"/>
              <w:rPr>
                <w:sz w:val="17"/>
                <w:szCs w:val="17"/>
                <w:color w:val="auto"/>
              </w:rPr>
            </w:pP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318,019</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3"/>
          </w:tcPr>
          <w:p>
            <w:pPr>
              <w:jc w:val="right"/>
              <w:ind w:right="3"/>
              <w:spacing w:after="0"/>
              <w:rPr>
                <w:sz w:val="20"/>
                <w:szCs w:val="20"/>
                <w:color w:val="auto"/>
              </w:rPr>
            </w:pPr>
            <w:r>
              <w:rPr>
                <w:rFonts w:ascii="Times New Roman" w:cs="Times New Roman" w:eastAsia="Times New Roman" w:hAnsi="Times New Roman"/>
                <w:sz w:val="16"/>
                <w:szCs w:val="16"/>
                <w:color w:val="auto"/>
              </w:rPr>
              <w:t>(139,999 )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-1799590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-1782445</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-1799590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-1782445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-1799590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-1782445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-1799590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-1782445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-1799590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-1782445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-1799590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-1782445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-162560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-162560</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-162560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-162560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-162560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 w:name="page7"/>
    <w:bookmarkEnd w:id="6"/>
    <w:p>
      <w:pPr>
        <w:ind w:left="512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(53,160 )</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(49,082 )</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(2,595 )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(2,646 )</w:t>
            </w:r>
          </w:p>
        </w:tc>
        <w:tc>
          <w:tcPr>
            <w:tcW w:w="0" w:type="dxa"/>
            <w:vAlign w:val="bottom"/>
          </w:tcPr>
          <w:p>
            <w:pPr>
              <w:spacing w:after="0"/>
              <w:rPr>
                <w:sz w:val="1"/>
                <w:szCs w:val="1"/>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(232 )</w:t>
            </w:r>
          </w:p>
        </w:tc>
        <w:tc>
          <w:tcPr>
            <w:tcW w:w="9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(42,057 )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(28,539 )</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(179 )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(176 )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initial public offering costs</w:t>
            </w:r>
          </w:p>
        </w:tc>
        <w:tc>
          <w:tcPr>
            <w:tcW w:w="9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(1,911 )</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(475 )</w:t>
            </w:r>
          </w:p>
        </w:tc>
        <w:tc>
          <w:tcPr>
            <w:tcW w:w="9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(42,689 )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(30,996 )</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244,979</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238,605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202,290</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207,609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 included in accounts payable and accrued expenses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00" w:type="dxa"/>
            <w:vAlign w:val="bottom"/>
            <w:shd w:val="clear" w:color="auto" w:fill="CFF0FC"/>
          </w:tcPr>
          <w:p>
            <w:pPr>
              <w:ind w:left="20"/>
              <w:spacing w:after="0" w:line="151" w:lineRule="exact"/>
              <w:rPr>
                <w:sz w:val="20"/>
                <w:szCs w:val="20"/>
                <w:color w:val="auto"/>
              </w:rPr>
            </w:pPr>
            <w:r>
              <w:rPr>
                <w:rFonts w:ascii="Times New Roman" w:cs="Times New Roman" w:eastAsia="Times New Roman" w:hAnsi="Times New Roman"/>
                <w:sz w:val="17"/>
                <w:szCs w:val="17"/>
                <w:color w:val="auto"/>
              </w:rPr>
              <w:t>Tax related to net settlement of equity awards included in accounts payable and</w:t>
            </w:r>
          </w:p>
        </w:tc>
        <w:tc>
          <w:tcPr>
            <w:tcW w:w="960" w:type="dxa"/>
            <w:vAlign w:val="bottom"/>
            <w:vMerge w:val="restart"/>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70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-2407920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-1851025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-1010920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-728345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89" w:lineRule="exact"/>
        <w:rPr>
          <w:sz w:val="20"/>
          <w:szCs w:val="20"/>
          <w:color w:val="auto"/>
        </w:rPr>
      </w:pPr>
    </w:p>
    <w:p>
      <w:pPr>
        <w:ind w:right="6280" w:firstLine="8"/>
        <w:spacing w:after="0" w:line="370"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BioAtla, LLC was formed in Delaware in March 2007 and, after undergoing two separate reorganizations in 2019 and in 2020, was converted to a Delaware corporation in July 2020 and was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its two lead CAB antibody drug conjugates (“CAB ADC”) targeting AXL and ROR2 receptors, and its CAB immune-oncology antibody targeting CTLA-4.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08"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Prior to the reorganization in July 2020 (or "Corporate Reorganization"), the consolidated financial statements included the accounts of BioAtla, LLC and those of its majority owned subsidiary Himalaya Therapeutics SEZC that had no material operations. Himalaya Therapeutics SEZC also had a wholly owned subsidiary, Himalaya Therapeutics HK Limited that had no material operations. All intercompany balances were eliminated in consolidation. In connection with the Corporate Reorganization, Himalaya Therapeutics SEZC and Himalaya Therapeutics HK Limited were deconsolidated without material impact to the consolidated financial statements. Subsequent to the Corporate Reorganization, BioAtla, Inc. became a single legal entity with no consolidated variable interest entities ("VIEs") or subsidiaries.</w:t>
      </w:r>
    </w:p>
    <w:p>
      <w:pPr>
        <w:spacing w:after="0" w:line="7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June 30, 2022, and for the three and six months ended June 30, 2022 and 2021,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financial statements for the year ended December 31, 2021, included in its Annual Report on Form 10-K filed with the SEC on February 28, 2022.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June 30, 2022, the Company had an accumulated deficit of $239.5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80"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relate to revenue recognition,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ind w:right="220"/>
        <w:spacing w:after="0" w:line="282" w:lineRule="auto"/>
        <w:rPr>
          <w:sz w:val="20"/>
          <w:szCs w:val="20"/>
          <w:color w:val="auto"/>
        </w:rPr>
      </w:pPr>
      <w:r>
        <w:rPr>
          <w:rFonts w:ascii="Times New Roman" w:cs="Times New Roman" w:eastAsia="Times New Roman" w:hAnsi="Times New Roman"/>
          <w:sz w:val="18"/>
          <w:szCs w:val="18"/>
          <w:color w:val="auto"/>
        </w:rPr>
        <w:t>results may differ materially and adversely from these estimates. To the extent there are material differences between the estimates and actual results, the Company’s future results of operations will be affected.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08"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77" w:lineRule="exact"/>
        <w:rPr>
          <w:sz w:val="20"/>
          <w:szCs w:val="20"/>
          <w:color w:val="auto"/>
        </w:rPr>
      </w:pPr>
    </w:p>
    <w:p>
      <w:pPr>
        <w:jc w:val="both"/>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8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operating lease liabilities, and operating lease liabilities, non-current on the Company’s consolidated balance sheets. The Company does not have any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There have been no items qualifying as other comprehensive loss and, therefore, for all periods presented, the Company’s comprehensive loss was the same as its reported net loss.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08"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Company's ESPP plan.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 w:name="page10"/>
    <w:bookmarkEnd w:id="9"/>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share because to do so would be anti-dilutive are as follows (in common stock equivalents):</w:t>
      </w:r>
    </w:p>
    <w:p>
      <w:pPr>
        <w:spacing w:after="0" w:line="142"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717,674</w:t>
            </w:r>
          </w:p>
        </w:tc>
        <w:tc>
          <w:tcPr>
            <w:tcW w:w="80" w:type="dxa"/>
            <w:vAlign w:val="bottom"/>
            <w:shd w:val="clear" w:color="auto" w:fill="CFF0FC"/>
          </w:tcPr>
          <w:p>
            <w:pPr>
              <w:spacing w:after="0"/>
              <w:rPr>
                <w:sz w:val="18"/>
                <w:szCs w:val="18"/>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2,727,336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850,149</w:t>
            </w:r>
          </w:p>
        </w:tc>
        <w:tc>
          <w:tcPr>
            <w:tcW w:w="80" w:type="dxa"/>
            <w:vAlign w:val="bottom"/>
          </w:tcPr>
          <w:p>
            <w:pPr>
              <w:spacing w:after="0"/>
              <w:rPr>
                <w:sz w:val="18"/>
                <w:szCs w:val="18"/>
                <w:color w:val="auto"/>
              </w:rPr>
            </w:pPr>
          </w:p>
        </w:tc>
      </w:tr>
      <w:tr>
        <w:trPr>
          <w:trHeight w:val="216"/>
        </w:trPr>
        <w:tc>
          <w:tcPr>
            <w:tcW w:w="5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739,959</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1,781,576</w:t>
            </w:r>
          </w:p>
        </w:tc>
        <w:tc>
          <w:tcPr>
            <w:tcW w:w="80" w:type="dxa"/>
            <w:vAlign w:val="bottom"/>
            <w:shd w:val="clear" w:color="auto" w:fill="CFF0FC"/>
          </w:tcPr>
          <w:p>
            <w:pPr>
              <w:spacing w:after="0"/>
              <w:rPr>
                <w:sz w:val="18"/>
                <w:szCs w:val="18"/>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41,292</w:t>
            </w:r>
          </w:p>
        </w:tc>
        <w:tc>
          <w:tcPr>
            <w:tcW w:w="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3,508,587</w:t>
            </w:r>
          </w:p>
        </w:tc>
        <w:tc>
          <w:tcPr>
            <w:tcW w:w="28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3,349,399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There were no new accounting standards that had a material impact on the Company’s consolidated financial statements during the three or six months ended June 30, 2022, and there were no other new accounting standards or pronouncements that were issued but not yet effective as of June 30, 2022 that the Company expects to have a material impact on its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05"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8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8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8"/>
                <w:szCs w:val="18"/>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4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8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3 - 7</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2 - 3</w:t>
            </w: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6"/>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(4,847 )</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(4,257 )</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top w:val="single" w:sz="8" w:color="CFF0FC"/>
            </w:tcBorders>
          </w:tcPr>
          <w:p>
            <w:pPr>
              <w:spacing w:after="0"/>
              <w:rPr>
                <w:sz w:val="18"/>
                <w:szCs w:val="18"/>
                <w:color w:val="auto"/>
              </w:rPr>
            </w:pPr>
          </w:p>
        </w:tc>
        <w:tc>
          <w:tcPr>
            <w:tcW w:w="480" w:type="dxa"/>
            <w:vAlign w:val="bottom"/>
            <w:tcBorders>
              <w:top w:val="single" w:sz="8" w:color="CFF0FC"/>
            </w:tcBorders>
            <w:gridSpan w:val="3"/>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8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3"/>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gridSpan w:val="2"/>
            <w:shd w:val="clear" w:color="auto" w:fill="CFF0FC"/>
          </w:tcPr>
          <w:p>
            <w:pPr>
              <w:spacing w:after="0"/>
              <w:rPr>
                <w:sz w:val="18"/>
                <w:szCs w:val="18"/>
                <w:color w:val="auto"/>
              </w:rPr>
            </w:pPr>
          </w:p>
        </w:tc>
        <w:tc>
          <w:tcPr>
            <w:tcW w:w="16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52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24,032</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-3025140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-3025140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-1807845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-1807845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-1525270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-1525270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596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the Company’s current financial assets and current financial liabilities are considered to be representative of their</w:t>
      </w:r>
    </w:p>
    <w:p>
      <w:pPr>
        <w:spacing w:after="0" w:line="1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respective fair values because of the short-term nature of those instruments. As of June 30, 2022 and December 31, 2021, the Company had no financial assets or liabilities measured at fair value on a recurring basis.</w:t>
      </w:r>
    </w:p>
    <w:p>
      <w:pPr>
        <w:spacing w:after="0" w:line="16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0" w:name="page11"/>
    <w:bookmarkEnd w:id="10"/>
    <w:p>
      <w:pPr>
        <w:ind w:right="180"/>
        <w:spacing w:after="0" w:line="282" w:lineRule="auto"/>
        <w:rPr>
          <w:sz w:val="20"/>
          <w:szCs w:val="20"/>
          <w:color w:val="auto"/>
        </w:rPr>
      </w:pPr>
      <w:r>
        <w:rPr>
          <w:rFonts w:ascii="Times New Roman" w:cs="Times New Roman" w:eastAsia="Times New Roman" w:hAnsi="Times New Roman"/>
          <w:sz w:val="18"/>
          <w:szCs w:val="18"/>
          <w:color w:val="auto"/>
        </w:rPr>
        <w:t>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08" w:lineRule="exact"/>
        <w:rPr>
          <w:sz w:val="20"/>
          <w:szCs w:val="20"/>
          <w:color w:val="auto"/>
        </w:rPr>
      </w:pPr>
    </w:p>
    <w:p>
      <w:pPr>
        <w:ind w:right="120" w:firstLine="554"/>
        <w:spacing w:after="0" w:line="250" w:lineRule="auto"/>
        <w:rPr>
          <w:sz w:val="20"/>
          <w:szCs w:val="20"/>
          <w:color w:val="auto"/>
        </w:rPr>
      </w:pPr>
      <w:r>
        <w:rPr>
          <w:rFonts w:ascii="Times New Roman" w:cs="Times New Roman" w:eastAsia="Times New Roman" w:hAnsi="Times New Roman"/>
          <w:sz w:val="18"/>
          <w:szCs w:val="18"/>
          <w:color w:val="auto"/>
        </w:rPr>
        <w:t>The Company did not have any outstanding debt as of June 30, 2022 or December 31, 2021. As of June 30, 2021, the Company had $0.7 million outstanding under a promissory note issued pursuant to the Paycheck Protection Program (“PPP”) of the CARES Act. The loan was subsequently forgiven in July 2021 and recognized as other income on the Company's Statement of Operations. For the three and six months ended June 30, 2021, the Company recognized interest expense related to its outstanding debt of $1,000 and $3,000, respectively.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08" w:lineRule="exact"/>
        <w:rPr>
          <w:sz w:val="20"/>
          <w:szCs w:val="20"/>
          <w:color w:val="auto"/>
        </w:rPr>
      </w:pPr>
    </w:p>
    <w:p>
      <w:pPr>
        <w:jc w:val="both"/>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components of lease expense included in the Company’s condensed consolidated statements of operations include (in thousands):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2600" w:type="dxa"/>
            <w:vAlign w:val="bottom"/>
          </w:tcPr>
          <w:p>
            <w:pPr>
              <w:spacing w:after="0"/>
              <w:rPr>
                <w:sz w:val="16"/>
                <w:szCs w:val="16"/>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r>
      <w:tr>
        <w:trPr>
          <w:trHeight w:val="183"/>
        </w:trPr>
        <w:tc>
          <w:tcPr>
            <w:tcW w:w="26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96"/>
        </w:trPr>
        <w:tc>
          <w:tcPr>
            <w:tcW w:w="2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gridSpan w:val="3"/>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100" w:type="dxa"/>
            <w:vAlign w:val="bottom"/>
            <w:gridSpan w:val="2"/>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5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FF0FC"/>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8"/>
                <w:szCs w:val="18"/>
                <w:color w:val="auto"/>
              </w:rPr>
            </w:pPr>
          </w:p>
        </w:tc>
      </w:tr>
      <w:tr>
        <w:trPr>
          <w:trHeight w:val="250"/>
        </w:trPr>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 net</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-24765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431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43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right="160" w:firstLine="464"/>
        <w:spacing w:after="0" w:line="296" w:lineRule="auto"/>
        <w:rPr>
          <w:sz w:val="20"/>
          <w:szCs w:val="20"/>
          <w:color w:val="auto"/>
        </w:rPr>
      </w:pPr>
      <w:r>
        <w:rPr>
          <w:rFonts w:ascii="Times New Roman" w:cs="Times New Roman" w:eastAsia="Times New Roman" w:hAnsi="Times New Roman"/>
          <w:sz w:val="17"/>
          <w:szCs w:val="17"/>
          <w:color w:val="auto"/>
        </w:rPr>
        <w:t>Variable lease costs are primarily related to payments made to lessors for common area maintenance, property taxes, insurance, and other operating expenses. The Company did not have any short-term leases or finance leases for the three and six months ended June 30, 2022 and 2021, respectively.</w:t>
      </w:r>
    </w:p>
    <w:p>
      <w:pPr>
        <w:spacing w:after="0" w:line="1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were as follows: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5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5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percentage</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3.50 %</w:t>
            </w:r>
          </w:p>
        </w:tc>
        <w:tc>
          <w:tcPr>
            <w:tcW w:w="4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3.50 %</w:t>
            </w:r>
          </w:p>
        </w:tc>
      </w:tr>
    </w:tbl>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under which the Company is the lessee was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3"/>
        </w:trPr>
        <w:tc>
          <w:tcPr>
            <w:tcW w:w="8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6"/>
        </w:trPr>
        <w:tc>
          <w:tcPr>
            <w:tcW w:w="8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1"/>
        </w:trPr>
        <w:tc>
          <w:tcPr>
            <w:tcW w:w="860" w:type="dxa"/>
            <w:vAlign w:val="bottom"/>
          </w:tcPr>
          <w:p>
            <w:pPr>
              <w:spacing w:after="0"/>
              <w:rPr>
                <w:sz w:val="14"/>
                <w:szCs w:val="14"/>
                <w:color w:val="auto"/>
              </w:rPr>
            </w:pPr>
          </w:p>
        </w:tc>
        <w:tc>
          <w:tcPr>
            <w:tcW w:w="47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tcPr>
          <w:p>
            <w:pPr>
              <w:spacing w:after="0"/>
              <w:rPr>
                <w:sz w:val="14"/>
                <w:szCs w:val="14"/>
                <w:color w:val="auto"/>
              </w:rPr>
            </w:pPr>
          </w:p>
        </w:tc>
      </w:tr>
      <w:tr>
        <w:trPr>
          <w:trHeight w:val="234"/>
        </w:trPr>
        <w:tc>
          <w:tcPr>
            <w:tcW w:w="86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FF0FC"/>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8"/>
        </w:trPr>
        <w:tc>
          <w:tcPr>
            <w:tcW w:w="860" w:type="dxa"/>
            <w:vAlign w:val="bottom"/>
            <w:tcBorders>
              <w:bottom w:val="single" w:sz="8" w:color="9A9A9A"/>
            </w:tcBorders>
          </w:tcPr>
          <w:p>
            <w:pPr>
              <w:spacing w:after="0"/>
              <w:rPr>
                <w:sz w:val="7"/>
                <w:szCs w:val="7"/>
                <w:color w:val="auto"/>
              </w:rPr>
            </w:pPr>
          </w:p>
        </w:tc>
        <w:tc>
          <w:tcPr>
            <w:tcW w:w="4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8"/>
          <w:szCs w:val="18"/>
          <w:color w:val="auto"/>
        </w:rPr>
        <w:t>As of June 30, 2022, future minimum payments under the Company's non-cancelable operating lease under ASC 842 were as follows (in thousands):</w:t>
      </w:r>
    </w:p>
    <w:p>
      <w:pPr>
        <w:spacing w:after="0" w:line="9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7"/>
        </w:trPr>
        <w:tc>
          <w:tcPr>
            <w:tcW w:w="6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lease</w:t>
            </w:r>
          </w:p>
        </w:tc>
      </w:tr>
      <w:tr>
        <w:trPr>
          <w:trHeight w:val="20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Six months ending December 31, 2022</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80" w:type="dxa"/>
            <w:vAlign w:val="bottom"/>
            <w:tcBorders>
              <w:top w:val="single" w:sz="8" w:color="CFF0FC"/>
            </w:tcBorders>
          </w:tcPr>
          <w:p>
            <w:pPr>
              <w:spacing w:after="0"/>
              <w:rPr>
                <w:sz w:val="18"/>
                <w:szCs w:val="18"/>
                <w:color w:val="auto"/>
              </w:rPr>
            </w:pPr>
          </w:p>
        </w:tc>
      </w:tr>
      <w:tr>
        <w:trPr>
          <w:trHeight w:val="210"/>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8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-462280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June 30, 2022 and December 31, 2021, the total number of common shares authorized for issuance under the 2020 Plan was 7,658,509 and 6,226,540,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and six months ended June 30, 2022 and 2021 has been reported in the condensed consolidated statements of operations and comprehensive loss as follows (in thousands):</w:t>
      </w:r>
    </w:p>
    <w:p>
      <w:pPr>
        <w:spacing w:after="0" w:line="12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r>
      <w:tr>
        <w:trPr>
          <w:trHeight w:val="187"/>
        </w:trPr>
        <w:tc>
          <w:tcPr>
            <w:tcW w:w="4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80" w:type="dxa"/>
            <w:vAlign w:val="bottom"/>
          </w:tcPr>
          <w:p>
            <w:pPr>
              <w:spacing w:after="0"/>
              <w:rPr>
                <w:sz w:val="18"/>
                <w:szCs w:val="18"/>
                <w:color w:val="auto"/>
              </w:rPr>
            </w:pPr>
          </w:p>
        </w:tc>
      </w:tr>
      <w:tr>
        <w:trPr>
          <w:trHeight w:val="25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2020 Plan for the six months ended June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7"/>
        </w:trPr>
        <w:tc>
          <w:tcPr>
            <w:tcW w:w="1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1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64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975,046</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6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1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(224,353 )</w:t>
            </w: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(10,734 )</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26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739,959</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399"/>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46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-359410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-342265</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total unrecognized stock-based compensation expense for RSUs was $13.3 million, which is expected to be recognized over a remaining weighted-average period of approximately 1.8 years. During the six months ended June 30, 2021, the Company modified 138,461 RSU's under the Transition Agreement (See Note 9).</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2020 Plan for the six months ended June 30,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12"/>
                <w:szCs w:val="12"/>
                <w:color w:val="auto"/>
              </w:rPr>
            </w:pPr>
          </w:p>
        </w:tc>
        <w:tc>
          <w:tcPr>
            <w:tcW w:w="14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78"/>
              <w:spacing w:after="0" w:line="151"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40" w:type="dxa"/>
            <w:vAlign w:val="bottom"/>
          </w:tcPr>
          <w:p>
            <w:pPr>
              <w:spacing w:after="0"/>
              <w:rPr>
                <w:sz w:val="13"/>
                <w:szCs w:val="13"/>
                <w:color w:val="auto"/>
              </w:rPr>
            </w:pP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98"/>
              <w:spacing w:after="0" w:line="15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660" w:type="dxa"/>
            <w:vAlign w:val="bottom"/>
          </w:tcPr>
          <w:p>
            <w:pPr>
              <w:spacing w:after="0"/>
              <w:rPr>
                <w:sz w:val="16"/>
                <w:szCs w:val="16"/>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10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1,086,902</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4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991,495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1,645,200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2,727,336</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2,727,336</w:t>
            </w:r>
          </w:p>
        </w:tc>
        <w:tc>
          <w:tcPr>
            <w:tcW w:w="2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15.49</w:t>
            </w:r>
          </w:p>
        </w:tc>
        <w:tc>
          <w:tcPr>
            <w:tcW w:w="1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9.40</w:t>
            </w:r>
          </w:p>
        </w:tc>
        <w:tc>
          <w:tcPr>
            <w:tcW w:w="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June 30, 2022</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343,103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8.28</w:t>
            </w:r>
          </w:p>
        </w:tc>
        <w:tc>
          <w:tcPr>
            <w:tcW w:w="4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-351155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-334010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total unrecognized stock-based compensation cost for unvested common stock options was $18.1 million, which is expected to be recognized over a remaining weighted-average period of approximately 3.3 years. The weighted- average grant date fair value of stock options granted during the six months ended June 30, 2022 was $4.07 per share. The total fair value of options vested during the six months ended June 30, 2022 was $3.8 million. During the six months ended June 30, 2021 the Company modified 7,747 stock options under the Transition Agreement (See Note 9).</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determine the fair value of stock option grants were as follows:</w:t>
      </w:r>
    </w:p>
    <w:p>
      <w:pPr>
        <w:spacing w:after="0" w:line="219" w:lineRule="exact"/>
        <w:rPr>
          <w:sz w:val="20"/>
          <w:szCs w:val="20"/>
          <w:color w:val="auto"/>
        </w:rPr>
      </w:pPr>
    </w:p>
    <w:p>
      <w:pPr>
        <w:jc w:val="center"/>
        <w:ind w:left="38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38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3800" w:type="dxa"/>
            <w:vAlign w:val="bottom"/>
          </w:tcPr>
          <w:p>
            <w:pPr>
              <w:spacing w:after="0"/>
              <w:rPr>
                <w:sz w:val="14"/>
                <w:szCs w:val="14"/>
                <w:color w:val="auto"/>
              </w:rPr>
            </w:pPr>
          </w:p>
        </w:tc>
        <w:tc>
          <w:tcPr>
            <w:tcW w:w="140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40" w:type="dxa"/>
            <w:vAlign w:val="bottom"/>
            <w:tcBorders>
              <w:top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 years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 years</w:t>
            </w:r>
          </w:p>
        </w:tc>
      </w:tr>
    </w:tbl>
    <w:p>
      <w:pPr>
        <w:spacing w:after="0" w:line="204" w:lineRule="exact"/>
        <w:rPr>
          <w:sz w:val="20"/>
          <w:szCs w:val="20"/>
          <w:color w:val="auto"/>
        </w:rPr>
      </w:pPr>
    </w:p>
    <w:p>
      <w:pPr>
        <w:ind w:right="42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As the Company’s common stock does not have a significant trading history, the expected volatility assumption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a peer group of similar companies whose share prices are publicly available. The peer group was developed based on companies in the biotechnology industry.</w:t>
      </w:r>
    </w:p>
    <w:p>
      <w:pPr>
        <w:spacing w:after="0" w:line="167"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assumption on the U.S. Treasury’s rates for U.S. Treasury zero-coupon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maturities similar to those of the expected term of the award being valued.</w:t>
      </w:r>
    </w:p>
    <w:p>
      <w:pPr>
        <w:spacing w:after="0" w:line="172"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bases the expected dividend yield assumption on the fact that it has never paid cash dividends and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plans to pay cash dividends.</w:t>
      </w:r>
    </w:p>
    <w:p>
      <w:pPr>
        <w:spacing w:after="0" w:line="159" w:lineRule="exact"/>
        <w:rPr>
          <w:sz w:val="20"/>
          <w:szCs w:val="20"/>
          <w:color w:val="auto"/>
        </w:rPr>
      </w:pPr>
    </w:p>
    <w:p>
      <w:pPr>
        <w:jc w:val="both"/>
        <w:ind w:right="2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For employees, the expected term represents the period of time that options are expected to be outstanding. Because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jc w:val="both"/>
        <w:ind w:right="120" w:firstLine="509"/>
        <w:spacing w:after="0" w:line="247" w:lineRule="auto"/>
        <w:rPr>
          <w:sz w:val="20"/>
          <w:szCs w:val="20"/>
          <w:color w:val="auto"/>
        </w:rPr>
      </w:pPr>
      <w:r>
        <w:rPr>
          <w:rFonts w:ascii="Times New Roman" w:cs="Times New Roman" w:eastAsia="Times New Roman" w:hAnsi="Times New Roman"/>
          <w:sz w:val="18"/>
          <w:szCs w:val="18"/>
          <w:color w:val="auto"/>
        </w:rPr>
        <w:t>The BioAtla, Inc. Employee Stock Purchase Plan (the “ESPP”) permits participants to purchase common stock through payroll deductions of up to 15% of their eligible compensation. As of June 30, 2022 and December 31, 2021, a total of 1,229,148 shares and 833,993 shares, respectively, of common stock were authorized for issuance under the ESPP. The number of shares of common stock</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authorized for issuance will automatically increase on January 1 of each calendar year, from January 1, 2021 through January 1, 2030 by the least of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of the total number of common shares of our common stock outstanding on December 31 of the preceding calendar year (calculated on a fully diluted basis), (ii) 929,658 common shares or (iii) a number determined by the Company’s board of directors that is less than (i) and (ii). In February 2021, employees began to enroll in the ESPP and the Company’s first offering period commenced. The Company issued 9,482 common shares under the ESPP during the six months ended June 30, 2022. Comparatively, the Company issued 5,280 common shares under the ESPP during the six months ended June 30, 2021. As of June 30, 2022, 1,208,484 shares of common stock remained available for issuance under the ESPP. Stock-based compensation expense related to the ESPP for the three and six months ended June 30, 2022 and 2021 was immaterial.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0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issued warrants in 2016 in connection with certain advisory services. The warrants became exercisable upon our IPO for a period of 365 and 450 days.</w:t>
      </w:r>
    </w:p>
    <w:p>
      <w:pPr>
        <w:spacing w:after="0" w:line="54"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Upon adoption of ASU No. 2018-07 on October 1, 2020, the measurement date of the warrants became fixed in accordance with the guidance, and such fair value was nominal since the warrants were deeply out-of-the-money. In December 2021, a total of 566,586 warrants with an exercise period of 365 days after our IPO expired unexercised. The remaining 151,088 warrants with an exercise period of 450 days after the Company's IPO expired unexercised in March 2022. Accordingly, there are no remaining common stock warrants outstanding and exercisable as of June 30,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are as follows in common equivalent shares: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2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62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151,088</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and restricted stock units issued and outstanding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3,467,295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2,061,948</w:t>
            </w:r>
          </w:p>
        </w:tc>
        <w:tc>
          <w:tcPr>
            <w:tcW w:w="8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2020 Plan</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3,014,123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3,211,854</w:t>
            </w:r>
          </w:p>
        </w:tc>
        <w:tc>
          <w:tcPr>
            <w:tcW w:w="8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ESPP</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1,208,484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822,811</w:t>
            </w:r>
          </w:p>
        </w:tc>
        <w:tc>
          <w:tcPr>
            <w:tcW w:w="80" w:type="dxa"/>
            <w:vAlign w:val="bottom"/>
          </w:tcPr>
          <w:p>
            <w:pPr>
              <w:spacing w:after="0"/>
              <w:rPr>
                <w:sz w:val="18"/>
                <w:szCs w:val="18"/>
                <w:color w:val="auto"/>
              </w:rPr>
            </w:pPr>
          </w:p>
        </w:tc>
      </w:tr>
      <w:tr>
        <w:trPr>
          <w:trHeight w:val="250"/>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7,689,902</w:t>
            </w:r>
          </w:p>
        </w:tc>
        <w:tc>
          <w:tcPr>
            <w:tcW w:w="2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6,247,701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 License and Option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BeiGene</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In April 2019, the Company entered into a Global Co-Development and Collaboration agreement (the “BeiGene Collaboration”) with BeiGene, Ltd. and BeiGene Switzerland GmbH (collectively “BeiGene”), a commercial-stage biopharmaceutical company, for the development, manufacturing and commercialization of the Company’s investigational CAB CTLA-4 antibody (BA3071). The Company and BeiGene amended the Global Co-Development and Collaboration agreement in December 2019 and in October 2020 (the “Amended BeiGene Collaboration”).</w:t>
      </w:r>
    </w:p>
    <w:p>
      <w:pPr>
        <w:spacing w:after="0" w:line="6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In 2019, BeiGene paid the Company an upfront non-refundable payment of $20.0 million and $5.0 million for reimbursement of manufacturing costs. Under the terms of the Amended BeiGene Collaboration, BeiGene was generally responsible for developing BA3071 and for global regulatory filings and commercialization. Subject to the terms of the Amended BeiGene Collaboration, BeiGene held an exclusive license with the Company to develop and manufacture the BA3071 candidate globally, and BeiGene was responsible for all costs of development, manufacturing and commercialization globally. The Amended BeiGene Collaboration provided that the Company was eligible to receive tiered royalties on sales worldwide, subsequent development and regulatory milestone payments globally and commercial milestones in the BeiGene territory.</w:t>
      </w:r>
    </w:p>
    <w:p>
      <w:pPr>
        <w:spacing w:after="0" w:line="7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On November 18, 2021, the Company entered into Amendment No. 3 to the Amended BeiGene Collaboration (“Amendment No.3”). Under Amendment No. 3, the Amended BeiGene Collaboration was terminated, subject to survival of certain provisions, and the Company regained the rights to know-how and materials under the Amended BeiGene Collaboration and assumed responsibility for the global development and commercialization of BA3071. As consideration for Amendment No.3, the Company agreed to pay BeiGene mid-single digit royalties on sales worldwide and on a limited basis will share in any upfront and milestone payments received through a sublicense of BA3071. As part of Amendment No.3, the Company reclassified its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Company did not recognize any revenue related to the collaboration agreement with BeiGene. As of June 30, 2022 and December 31, 2021, the Company had a $19.8 million Liability to Licensor, and $19.8 million of deferred revenue which was classified as current, respectively.</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Contracts</w:t>
      </w:r>
    </w:p>
    <w:p>
      <w:pPr>
        <w:spacing w:after="0" w:line="121"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Prior to developing its own programs, the Company entered into various fixed price research services contracts. In connection with those service contracts, the Company may receive future milestone payments if certain clinical, regulatory and commercialization milestones are achieved. The Company is also eligible to receive royalties based on certain product sales. The Company recognized revenue of $0.3 million, included in “Collaboration and Other Revenue”, for the three and six months ended June 30, 2021 related to the achievement of a clinical milestone on a fixed price service contract. The Company did not recognize any revenue related to its legacy service contracts during the three or six months ended June 30, 2022.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BMS Collaboration</w:t>
      </w:r>
    </w:p>
    <w:p>
      <w:pPr>
        <w:spacing w:after="0" w:line="121"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In January 2022, the Company entered into a Master Clinical Trial Collaboration Agreement (the “BMS Collaboration”) with Bristol-Myers Squibb Company (“BMS”) pursuant to which the Company and BMS will investigate the Company’s CAB-ADC candidates, mecbotamab vedotin (BA3011) and ozuriftamab vedotin (BA3021), each in combination with Opdivo (the “BMS Compound”) in clinical trials (each a “Combined Therapy Study”). Opdivo has received approval for several anti-cancer indications.</w:t>
      </w:r>
    </w:p>
    <w:p>
      <w:pPr>
        <w:spacing w:after="0" w:line="86" w:lineRule="exact"/>
        <w:rPr>
          <w:sz w:val="20"/>
          <w:szCs w:val="20"/>
          <w:color w:val="auto"/>
        </w:rPr>
      </w:pPr>
    </w:p>
    <w:p>
      <w:pPr>
        <w:jc w:val="both"/>
        <w:ind w:right="80" w:firstLine="509"/>
        <w:spacing w:after="0" w:line="244" w:lineRule="auto"/>
        <w:rPr>
          <w:sz w:val="20"/>
          <w:szCs w:val="20"/>
          <w:color w:val="auto"/>
        </w:rPr>
      </w:pPr>
      <w:r>
        <w:rPr>
          <w:rFonts w:ascii="Times New Roman" w:cs="Times New Roman" w:eastAsia="Times New Roman" w:hAnsi="Times New Roman"/>
          <w:sz w:val="18"/>
          <w:szCs w:val="18"/>
          <w:color w:val="auto"/>
        </w:rPr>
        <w:t>Under the BMS Collaboration, the Company will serve as the study sponsor for each Combined Therapy Study and will be responsible for the costs associated with trial execution. BMS will supply the Company with clinical drug supply of the BMS Compound at no cost to the Company for each study as well as provide input on certain clinical and regulatory aspects of each Combined Therapy Study in exchange for jointly owning clinical data. The BMS collaboration may be early terminated if a party is in material breach, if either party files for bankruptcy, or due to the existence of a material safety issue.</w:t>
      </w:r>
    </w:p>
    <w:p>
      <w:pPr>
        <w:spacing w:after="0" w:line="2" w:lineRule="exact"/>
        <w:rPr>
          <w:sz w:val="20"/>
          <w:szCs w:val="20"/>
          <w:color w:val="auto"/>
        </w:rPr>
      </w:pPr>
    </w:p>
    <w:p>
      <w:pPr>
        <w:ind w:right="700"/>
        <w:spacing w:after="0" w:line="243" w:lineRule="auto"/>
        <w:rPr>
          <w:sz w:val="20"/>
          <w:szCs w:val="20"/>
          <w:color w:val="auto"/>
        </w:rPr>
      </w:pPr>
      <w:r>
        <w:rPr>
          <w:rFonts w:ascii="Times New Roman" w:cs="Times New Roman" w:eastAsia="Times New Roman" w:hAnsi="Times New Roman"/>
          <w:sz w:val="18"/>
          <w:szCs w:val="18"/>
          <w:color w:val="auto"/>
        </w:rPr>
        <w:t>Subject to earlier termination, the BMS Collaboration shall remain in effect until completion and delivery of final study documents for each of the Combined Therapy Study to both parties.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Rights Agreement</w:t>
      </w:r>
    </w:p>
    <w:p>
      <w:pPr>
        <w:spacing w:after="0" w:line="10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with future rights to 2 or more CAB-antibodies, global rights to a CAB-HER2-bispecific-antibody and global co-development rights with us to an IL-22 non-CAB-antibody. Payments to the Company may include upfront payments, milestone payments and double-digit royalties, which represent a variable interest held by the Company, but no payments have been made to the Company to date. Himalaya Therapeutics SEZC is a related party.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Carolyn Anderson Short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Transition Agreement</w:t>
      </w:r>
    </w:p>
    <w:p>
      <w:pPr>
        <w:spacing w:after="0" w:line="10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On March 23, 2021, the Company entered into a transition agreement with Ms. Anderson Short, our Co-founder and Executive Vice President and Chief of Intellectual Property and Strategy. Pursuant to this transition agreement, Ms. Anderson Short continued in her role with the same base salary and employee benefits until her employment with the Company was terminated on May 31, 2021. Upon her separation from the Company and subject to her execution of a release of claims, Ms. Anderson Short received the following severance benefits as set forth in the transition agreement, which satisfied existing severance obligations owing to her under a legacy pre-IPO severance agreement she had entered into with the Company on July 1, 2018: (i) a lump sum payment equal to 18 months of Ms. Anderson Short’s then-current base salary, (ii) a payment at her targeted bonus rate for 2021, pro-rated to the date of her termination of employment, and (iii) full accelerated vesting of her equity awards including 7,747 stock options and 138,461 restricted stock units. The modification of these equity awards resulted in an incremental fair value of $7.0 million which was recognized on a straight-line basis over the transition service period which ended on the separation date. For the three and six months ended June 30, 2021, the Company recognized $0.8 million and $1.0 million, respectively, related to the lump sum salary payment and target bonus. The Company also recognized non-cash stock-based compensation charges of $8.4 million and $9.4 million related to the modified equity awards for the three and six months ended June 30, 2021, respectively. No unrecognized stock-based compensation remained as of June 30,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Agreement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April 2022, the Company entered into a Clinical Trial Agreement with Himalaya Therapeutics SEZC. Under the agreement, Himalaya</w:t>
      </w:r>
    </w:p>
    <w:p>
      <w:pPr>
        <w:spacing w:after="0" w:line="16"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18"/>
          <w:szCs w:val="18"/>
          <w:color w:val="auto"/>
        </w:rPr>
        <w:t>Therapeutics SEZC agreed to provide services related to the initiation of clinical trials for BA3021 in the People’s Republic of China. For the first year following effectiveness of the agreement, the Company has agreed to pay Himalaya Therapeutics SEZC for the full-time use of two of its personnel. Payments are due and payable by BioAtla to Himalaya Therapeutics SEZC on a quarterly calendar basis and are non-refundable. For the three and six months ended June 30, 2022, the Company recognized $0.1 million in research and development expense related to the Clinical Trial Agreement. The Company did not have any amounts due from or due to Himalaya Therapeutics SEZC as of June 30,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401(k) Plan</w:t>
      </w:r>
    </w:p>
    <w:p>
      <w:pPr>
        <w:spacing w:after="0" w:line="108" w:lineRule="exact"/>
        <w:rPr>
          <w:sz w:val="20"/>
          <w:szCs w:val="20"/>
          <w:color w:val="auto"/>
        </w:rPr>
      </w:pPr>
    </w:p>
    <w:p>
      <w:pPr>
        <w:ind w:right="260" w:firstLine="509"/>
        <w:spacing w:after="0" w:line="247"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As of June 30, 2022 and December 31, 2021, the Company had not made any matching contributions.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unaudited financial statements and notes thereto included in “Item 1. Financial Statements” of this Quarterly Report on Form 10-Q and the audited financial statements and notes thereto as of and for the year ended December 31, 2021 included in the Annual Report on Form 10-K, filed with the Securities and Exchange Commission, or the SEC, on February 28, 2022.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8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86"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$28.9 million and $53.2 million for the three and six months ended June 30, 2022, respectively, compared to $30.4 million and $49.1 million for three and six months ended June 30, 2021, respectively. As of June 30, 2022, we had an accumulated deficit of $239.5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as we conduct clinical trials of our lead product candidates and seek to expand our pipeline.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04" w:lineRule="exact"/>
        <w:rPr>
          <w:sz w:val="20"/>
          <w:szCs w:val="20"/>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mecbotamab vedotin;</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ozuriftamab vedotin;</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BA3071;</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pipeline of bispecific and other CAB antibody-based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CAB technology platform;</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know-how;</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additional product collaborations and commercial manufacturing relationships with third parties;</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4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sales, marketing and distribution infrastructure and relationships with third parties to commercialize product candidates for which we may obtain marketing approval;</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0" w:right="439" w:bottom="1440" w:gutter="0" w:footer="0" w:header="0"/>
        </w:sectPr>
      </w:pPr>
    </w:p>
    <w:bookmarkStart w:id="17" w:name="page18"/>
    <w:bookmarkEnd w:id="17"/>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operational, financial and management information systems;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scientific, management, administrative and commercial personnel.</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Furthermore, we expect to incur additional costs associated with operating as a public company.</w:t>
      </w:r>
    </w:p>
    <w:p>
      <w:pPr>
        <w:spacing w:after="0" w:line="21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77"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2022, our cash and cash equivalents totaled approximately $202.3 million. Based on our current operating plan, our current cash and cash equivalents are expected to be sufficient to fund our ongoing operations into the second half of 2024. However, we have based this estimate on assumptions that may prove to be wrong, and we could utilize our available capital resources sooner than we currently expect.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worldwide COVID-19 pandemic may affect our ability to complete our current preclinical studies and clinical trials, initiate and complete our planned preclinical studies and clinical trials, disrupt regulatory activities or have other adverse effects on our business, results of operations, financial condition and prospects. In addition, the pandemic has caused substantial disruption in the financial markets and may adversely impact economies worldwide, both of which could adversely affect our business, operations and ability to raise funds to support our operations. To date, we have experienced modest business disruptions, including with respect to clinical trials we are conducting, and non-material impairments as a result of the pandemic. Our mecbotamab vedotin Phase 2 sarcoma trial remains on schedule and the Phase 2 interim analysis for mecbotamab vedotin NSCLC and ozuriftamab vedotin studies have experienced some modest delays. 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During 2022 we modified our hybrid work policy to allow for more flexibility based on department needs and travel requirements. We are complying with all applicable guidelines for our clinical trials, including remote clinical monitoring. In April 2020, we borrowed $0.7 million under the Paycheck Protection Program under the CARES Act and we received full loan forgiveness from the U.S. Small Business Association in July 2021, resulting in the recognition of $0.7 million to other income for the twelve months ended December 31, 2021. We are continuing to monitor the potential impact of the pandemic, but we cannot be certain what the overall impact will be on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not generated any revenue from the sale of products and do not expect to generate meaningful revenue in the near future.</w:t>
      </w:r>
    </w:p>
    <w:p>
      <w:pPr>
        <w:spacing w:after="0" w:line="21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In 2019 we entered into a collaboration agreement with BeiGene, Ltd. The agreement was amended several times and was terminated in November 2021, which resulted in the Company assuming responsibility for development of BA3071. We received a total of $25 million in non-refundable payments from BeiGene from this collaboration. Pursuant to the terms of the November 2021 amendment, we agreed to pay single digit royalties to BeiGene and agreed to share on a limited basis in any upfront and milestone payments, if received, through a sublicense of BA3071. In addition, we may in the future seek third-party collaborators or joint venture partners for development and commercialization of additional CAB product candidates. We did not recognize any collaboration revenue for the three or six months ended June 30, 2022 and 2021.</w:t>
      </w:r>
    </w:p>
    <w:p>
      <w:pPr>
        <w:spacing w:after="0" w:line="180" w:lineRule="exact"/>
        <w:rPr>
          <w:sz w:val="20"/>
          <w:szCs w:val="20"/>
          <w:color w:val="auto"/>
        </w:rPr>
      </w:pPr>
    </w:p>
    <w:p>
      <w:pPr>
        <w:ind w:right="600" w:firstLine="509"/>
        <w:spacing w:after="0" w:line="246" w:lineRule="auto"/>
        <w:rPr>
          <w:sz w:val="20"/>
          <w:szCs w:val="20"/>
          <w:color w:val="auto"/>
        </w:rPr>
      </w:pPr>
      <w:r>
        <w:rPr>
          <w:rFonts w:ascii="Times New Roman" w:cs="Times New Roman" w:eastAsia="Times New Roman" w:hAnsi="Times New Roman"/>
          <w:sz w:val="18"/>
          <w:szCs w:val="18"/>
          <w:color w:val="auto"/>
        </w:rPr>
        <w:t>Prior to developing our own programs, we received revenue from services performed under fixed price service contracts that, in some cases, provided for potential milestone and royalty payments to us. We did not recognize any revenue from our legacy service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8" w:name="page19"/>
    <w:bookmarkEnd w:id="18"/>
    <w:p>
      <w:pPr>
        <w:ind w:right="100"/>
        <w:spacing w:after="0" w:line="282" w:lineRule="auto"/>
        <w:rPr>
          <w:sz w:val="20"/>
          <w:szCs w:val="20"/>
          <w:color w:val="auto"/>
        </w:rPr>
      </w:pPr>
      <w:r>
        <w:rPr>
          <w:rFonts w:ascii="Times New Roman" w:cs="Times New Roman" w:eastAsia="Times New Roman" w:hAnsi="Times New Roman"/>
          <w:sz w:val="18"/>
          <w:szCs w:val="18"/>
          <w:color w:val="auto"/>
        </w:rPr>
        <w:t>contracts for the three and six months ended June 30, 2022. We recognized $0.3 million in revenues from our legacy service contracts for the three and six months ended June 30, 2021,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the discovery and development of our product candidates.</w:t>
      </w:r>
    </w:p>
    <w:p>
      <w:pPr>
        <w:spacing w:after="0" w:line="104" w:lineRule="exact"/>
        <w:rPr>
          <w:sz w:val="20"/>
          <w:szCs w:val="20"/>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 of:</w:t>
      </w:r>
    </w:p>
    <w:p>
      <w:pPr>
        <w:spacing w:after="0" w:line="103" w:lineRule="exact"/>
        <w:rPr>
          <w:rFonts w:ascii="Times New Roman" w:cs="Times New Roman" w:eastAsia="Times New Roman" w:hAnsi="Times New Roman"/>
          <w:sz w:val="18"/>
          <w:szCs w:val="18"/>
          <w:color w:val="auto"/>
        </w:rPr>
      </w:pPr>
    </w:p>
    <w:p>
      <w:pPr>
        <w:ind w:left="1380" w:right="720" w:hanging="374"/>
        <w:spacing w:after="0" w:line="282" w:lineRule="auto"/>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contractors, clinical research organizations (CROs) and consultants, and other costs related to preclinical and clinical trials;</w:t>
      </w:r>
    </w:p>
    <w:p>
      <w:pPr>
        <w:spacing w:after="0" w:line="40" w:lineRule="exact"/>
        <w:rPr>
          <w:rFonts w:ascii="Times New Roman" w:cs="Times New Roman" w:eastAsia="Times New Roman" w:hAnsi="Times New Roman"/>
          <w:sz w:val="18"/>
          <w:szCs w:val="18"/>
          <w:color w:val="auto"/>
        </w:rPr>
      </w:pPr>
    </w:p>
    <w:p>
      <w:pPr>
        <w:ind w:left="1380" w:right="480" w:hanging="374"/>
        <w:spacing w:after="0" w:line="266" w:lineRule="auto"/>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 manufacturing organizations (CMOs) and other vendors for manufacturing research and clinical trial materials; and</w:t>
      </w:r>
    </w:p>
    <w:p>
      <w:pPr>
        <w:spacing w:after="0" w:line="54"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w:t>
      </w:r>
    </w:p>
    <w:p>
      <w:pPr>
        <w:spacing w:after="0" w:line="103" w:lineRule="exact"/>
        <w:rPr>
          <w:rFonts w:ascii="Times New Roman" w:cs="Times New Roman" w:eastAsia="Times New Roman" w:hAnsi="Times New Roman"/>
          <w:sz w:val="18"/>
          <w:szCs w:val="18"/>
          <w:color w:val="auto"/>
        </w:rPr>
      </w:pPr>
    </w:p>
    <w:p>
      <w:pPr>
        <w:ind w:left="1380" w:right="400" w:hanging="374"/>
        <w:spacing w:after="0" w:line="266" w:lineRule="auto"/>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equity-based compensation expenses, for personnel in our research and development functions; and</w:t>
      </w:r>
    </w:p>
    <w:p>
      <w:pPr>
        <w:spacing w:after="0" w:line="67"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equipment and facilities depreciation expense.</w:t>
      </w:r>
    </w:p>
    <w:p>
      <w:pPr>
        <w:spacing w:after="0" w:line="21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69"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We expect our research and development expenses to generally increase for the foreseeable future as we continue to invest in research and development activities to advance our product candidates and our clinical programs and expand our product candidate pipeline.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Our general and administrative expenses have increased as a result of operating as a public company and after losing our emerging growth status. We also expect our general and administrative expenses to increase in the future as we increase our personnel headcount to support our research and development activities to advance our product candidates and clinical stage programs.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 balances. Our interest income has not been significant to date and we do not expect any material changes.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2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(7,516 )</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(29,055 )</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(30,460 )</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 and comprehensive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(28,906 )</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(30,381 )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-1010920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-1010920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-170815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BA3011 (AXL-ADC)</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8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(1,666 )</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BA3021 (ROR2-ADC)</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(1,833 )</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CAB Programs</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and related</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and other</w:t>
            </w: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tcBorders>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$20.7 million and $14.9 million for the three months ended June 30, 2022 and 2021, respectively. The increase of approximately $5.9 million was primarily driven by a $3.7 million increase in clinical development for our clinical programs, a $0.8 million increase in pre-clinical development and manufacturing costs for various programs, a $1.1 million increase in personnel related costs due to an increase in headcount to support ongoing development activities for our programs, and a $0.2 million increase in stock-based compensation due to awards issued in connection with our 2020 Equity Incentive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$8.3 million and $15.9 million for the three months ended June 30, 2022 and 2021, respectively. The decrease of approximately $7.5 million was primarily driven by a $8.7 million decrease in stock-based compensation related to awards issued under our 2020 Equity Incentive Plan, including new awards issued under the plan and the modification of awards issued to one of our co-founders in Q2 2021, and a $0.6 million decrease in personnel related expenses, offset by a $1.6 million increase in audit and legal expense.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Interest income was $146,000 and $80,000 for the three months ended June 30, 2022 and 2021, respectively. The increase of $66,000 was due to higher yields earned during Q2 2022 compared to the same period in 2021.</w:t>
      </w: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(8,467 )</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53,401</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(53,401 )</w:t>
            </w:r>
          </w:p>
        </w:tc>
        <w:tc>
          <w:tcPr>
            <w:tcW w:w="4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(49,257 )</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(4,144 )</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 and comprehensive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(53,160 )</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(49,082 )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(4,078 )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-1010920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-1010920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-1010920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-170815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206"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BA3011 (AXL-ADC)</w:t>
            </w:r>
          </w:p>
        </w:tc>
        <w:tc>
          <w:tcPr>
            <w:tcW w:w="80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(1,498 )</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BA3021 (ROR2-ADC)</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(1,346 )</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CAB Programs</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15,956</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external expenses</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28,267</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18,975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and related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Facilities and other</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37,634</w:t>
            </w: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25,273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5"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were $37.6 million and $25.3 million for the six months ended June 30, 2022 and 2021, respectively. The increase of $12.4 million was primarily driven by a $8.2 million increase in clinical development for our clinical programs, a $1.1 million increase in pre-clinical development and manufacturing costs for various programs, a $2.3 million increase in personnel related costs due to an increase in headcount to support ongoing development activities for our programs, and a $0.6 million increase in stock-based compensation due to awards issued in connection with our 2020 Equity Incentive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06"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$15.8 million and $24.2 million for the six months ended June 30, 2022 and 2021, respectively. The decrease of $8.5 million was primarily driven by a $10.0 million decrease in stock-based compensation related to awards issued under our 2020 Equity Incentive Plan, including new awards granted under the plan and the modification of awards issued to one of our co-founders in 2021, and a $0.5 million decrease in personnel related expenses, offset by an increase of $1.9 million in audit and legal services, including a $1.0 million legal settlement.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$231,000 and $178,000 for the six months ended June 30, 2022 and 2021, respectively. The increase of $53,000 was due to higher yields earned compared to the same period in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400" w:firstLine="509"/>
        <w:spacing w:after="0" w:line="253" w:lineRule="auto"/>
        <w:rPr>
          <w:sz w:val="20"/>
          <w:szCs w:val="20"/>
          <w:color w:val="auto"/>
        </w:rPr>
      </w:pPr>
      <w:r>
        <w:rPr>
          <w:rFonts w:ascii="Times New Roman" w:cs="Times New Roman" w:eastAsia="Times New Roman" w:hAnsi="Times New Roman"/>
          <w:sz w:val="18"/>
          <w:szCs w:val="18"/>
          <w:color w:val="auto"/>
        </w:rPr>
        <w:t>We have incurred aggregate net losses and negative cash flows from operations since our inception and anticipate we will continue to incur net losses for the foreseeable future. As of June 30, 2022, we had cash and cash equivalents of $202.3 million.</w:t>
      </w: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140" w:firstLine="509"/>
        <w:spacing w:after="0" w:line="272" w:lineRule="auto"/>
        <w:rPr>
          <w:sz w:val="20"/>
          <w:szCs w:val="20"/>
          <w:color w:val="auto"/>
        </w:rPr>
      </w:pPr>
      <w:r>
        <w:rPr>
          <w:rFonts w:ascii="Times New Roman" w:cs="Times New Roman" w:eastAsia="Times New Roman" w:hAnsi="Times New Roman"/>
          <w:sz w:val="17"/>
          <w:szCs w:val="17"/>
          <w:color w:val="auto"/>
        </w:rPr>
        <w:t>On April 22, 2020, we received proceeds from a loan pursuant to the Paycheck Protection Program of the CARES Act, "the PPP Loan", in the amount of $0.7 million from City National Bank, as lender. In July 2021, we were notified by our lender that our PPP Loan had been fully forgiven by the U.S. Small Business Administration and that there was no remaining balance on the PPP Loan. We recorded the forgiveness as other income in July 2021.</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68" w:lineRule="exact"/>
        <w:rPr>
          <w:sz w:val="20"/>
          <w:szCs w:val="20"/>
          <w:color w:val="auto"/>
        </w:rPr>
      </w:pPr>
    </w:p>
    <w:p>
      <w:pPr>
        <w:ind w:left="1000" w:right="400" w:hanging="36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scope, rate of progress, results and costs of our preclinical studies, clinical trials and other related activities for our product candidates;</w:t>
      </w:r>
    </w:p>
    <w:p>
      <w:pPr>
        <w:spacing w:after="0" w:line="54" w:lineRule="exact"/>
        <w:rPr>
          <w:rFonts w:ascii="Times New Roman" w:cs="Times New Roman" w:eastAsia="Times New Roman" w:hAnsi="Times New Roman"/>
          <w:sz w:val="18"/>
          <w:szCs w:val="18"/>
          <w:color w:val="auto"/>
        </w:rPr>
      </w:pPr>
    </w:p>
    <w:p>
      <w:pPr>
        <w:ind w:left="1000" w:right="240" w:hanging="36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commercial supplies and sales, marketing and distribution capabilities;</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capital expenditures to support our research and development efforts;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03" w:lineRule="exact"/>
        <w:rPr>
          <w:rFonts w:ascii="Times New Roman" w:cs="Times New Roman" w:eastAsia="Times New Roman" w:hAnsi="Times New Roman"/>
          <w:sz w:val="18"/>
          <w:szCs w:val="18"/>
          <w:color w:val="auto"/>
        </w:rPr>
      </w:pPr>
    </w:p>
    <w:p>
      <w:pPr>
        <w:ind w:left="1000" w:right="140" w:hanging="36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61"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00" w:right="480" w:hanging="36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administrative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1000" w:right="60" w:hanging="36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although we have no commitments or agreements relating to any of these types of transactions.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our current cash and cash equivalents are expected to be sufficient to fund our ongoing operations into the second half of 2024. However, we have based this estimate on assumptions that may prove to be wrong, and we could utilize our available capital resources sooner than we currently expect.</w:t>
      </w:r>
    </w:p>
    <w:p>
      <w:pPr>
        <w:spacing w:after="0" w:line="169"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In addition, 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the COVID-19 pandemic, supply chain disruptions, and geopolitical disruptions, including the recent conflict between Russia and Ukraine,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2" w:name="page23"/>
    <w:bookmarkEnd w:id="22"/>
    <w:p>
      <w:pPr>
        <w:spacing w:after="0" w:line="250" w:lineRule="auto"/>
        <w:rPr>
          <w:sz w:val="20"/>
          <w:szCs w:val="20"/>
          <w:color w:val="auto"/>
        </w:rPr>
      </w:pPr>
      <w:r>
        <w:rPr>
          <w:rFonts w:ascii="Times New Roman" w:cs="Times New Roman" w:eastAsia="Times New Roman" w:hAnsi="Times New Roman"/>
          <w:sz w:val="18"/>
          <w:szCs w:val="18"/>
          <w:color w:val="auto"/>
        </w:rPr>
        <w:t>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w:t>
      </w:r>
    </w:p>
    <w:p>
      <w:pPr>
        <w:spacing w:after="0" w:line="21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(42,057 )</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(28,539 )</w:t>
            </w:r>
          </w:p>
        </w:tc>
      </w:tr>
      <w:tr>
        <w:trPr>
          <w:trHeight w:val="216"/>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(736 )</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(1,721 )</w:t>
            </w:r>
          </w:p>
        </w:tc>
      </w:tr>
      <w:tr>
        <w:trPr>
          <w:trHeight w:val="249"/>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(42,689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totaled $42.1 million for the six months ended June 30, 2022, which consisted of a consolidated net loss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 million, a net change of $3.0 million in our operating assets and liabilities and $8.1 million of non-cash transactions. The net change in our operating</w:t>
      </w:r>
    </w:p>
    <w:p>
      <w:pPr>
        <w:spacing w:after="0"/>
        <w:rPr>
          <w:sz w:val="20"/>
          <w:szCs w:val="20"/>
          <w:color w:val="auto"/>
        </w:rPr>
      </w:pPr>
      <w:r>
        <w:rPr>
          <w:rFonts w:ascii="Times New Roman" w:cs="Times New Roman" w:eastAsia="Times New Roman" w:hAnsi="Times New Roman"/>
          <w:sz w:val="18"/>
          <w:szCs w:val="18"/>
          <w:color w:val="auto"/>
        </w:rPr>
        <w:t>assets and liabilities was primarily due to an increase in accounts payable and accrued expenses of $5.8 million, offset by an increase in prepaid expenses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assets of $2.6 million. The non-cash transactions primarily consisted of $7.5 million of stock-based compensation and non-cash charges of $0.6</w:t>
      </w:r>
    </w:p>
    <w:p>
      <w:pPr>
        <w:spacing w:after="0"/>
        <w:rPr>
          <w:sz w:val="20"/>
          <w:szCs w:val="20"/>
          <w:color w:val="auto"/>
        </w:rPr>
      </w:pPr>
      <w:r>
        <w:rPr>
          <w:rFonts w:ascii="Times New Roman" w:cs="Times New Roman" w:eastAsia="Times New Roman" w:hAnsi="Times New Roman"/>
          <w:sz w:val="18"/>
          <w:szCs w:val="18"/>
          <w:color w:val="auto"/>
        </w:rPr>
        <w:t>million related to depreciation and amortization.</w:t>
      </w:r>
    </w:p>
    <w:p>
      <w:pPr>
        <w:spacing w:after="0" w:line="84"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2021 was $28.5 million, which consisted of a consolidated net loss of $49.1 million, a net change of $3.0 million in our operating assets and liabilities and $17.6 million of non-cash transactions. The net change in our operating assets and liabilities was primarily due to an increase in accounts payable and accrued expenses of $5.7 million, offset by an increase in prepaid expenses and other assets of $2.6 million. The non-cash transactions</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consisted of $16.9 million of stock-based compensation and non-cash charges of $0.6 million related to depreciation and amortization.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0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$0.2 million for the six months ended June 30, 2022 and $0.7 million for the six months ended June 30, 2021, respectively, related to the purchase of property and equipment.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0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$0.5 million for the six months ended June 30, 2022, which consisted primarily of the payment of taxes related to the net settlement of restricted stock units.</w:t>
      </w:r>
    </w:p>
    <w:p>
      <w:pPr>
        <w:spacing w:after="0" w:line="6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was $1.7 million for the six months ended June 30, 2021, which consisted primarily of our payment of initial public offering costs of $1.9 million, partially offset by the proceeds from the issuance of common stock under our Employee Stock Purchase Plan of $0.2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3" w:name="page24"/>
    <w:bookmarkEnd w:id="23"/>
    <w:p>
      <w:pPr>
        <w:ind w:firstLine="509"/>
        <w:spacing w:after="0" w:line="247"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2021. There have not been any material changes to the critical accounting policies discussed therein during the six months ended June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the rules and regulations of the SEC.</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We had cash and cash equivalents of $202.3 million and $245.0 million as of June 30, 2022 and December 31, 2021, respectively, which consisted of bank deposits and money market funds. Such interest-bearing instruments carry a degree of interest rate risk; however, historical fluctuations of interest income have not been significant.</w:t>
      </w:r>
    </w:p>
    <w:p>
      <w:pPr>
        <w:spacing w:after="0" w:line="6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we do not currently utilize derivative financial instruments to manage our interest rate exposure. We have not historically been exposed to material risks due to changes in interest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Our contracts with customers are primarily denominated in U.S. dollars, with a small amount denominated in foreign currencies. As such, fluctuations in foreign currency exchange rates may cause us to recognize transaction gains and losses in our statement of operations. To date, foreign currency transaction gains and losses have not been material to our condensed consolidated financial statements, and we have not engaged in any foreign currency hedging transactions.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As required by Rules 13a-15(b) and 15d-15(b) of the Exchange Act, our management, with the participation of our Chief Executive Officer and our Chief Financial Officer, evaluated the effectiveness of our disclosure controls and procedures as of June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our Chief Financial Officer concluded that, as of such date, our disclosure controls and procedures were effective at the reasonable assurance level.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all information in this Quarterly Report on Form 10-Q, including our condensed consolidated financial statements and related notes appearing elsewhere in this prospectus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69" w:lineRule="exact"/>
        <w:rPr>
          <w:sz w:val="20"/>
          <w:szCs w:val="20"/>
          <w:color w:val="auto"/>
        </w:rPr>
      </w:pPr>
    </w:p>
    <w:p>
      <w:pPr>
        <w:ind w:left="1000" w:right="200" w:hanging="36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40" w:lineRule="exact"/>
        <w:rPr>
          <w:rFonts w:ascii="Times New Roman" w:cs="Times New Roman" w:eastAsia="Times New Roman" w:hAnsi="Times New Roman"/>
          <w:sz w:val="18"/>
          <w:szCs w:val="18"/>
          <w:color w:val="auto"/>
        </w:rPr>
      </w:pPr>
    </w:p>
    <w:p>
      <w:pPr>
        <w:ind w:left="1000" w:right="380" w:hanging="368"/>
        <w:spacing w:after="0" w:line="25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82"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in development or suffer delays that adversely affect their commercial viability.</w:t>
      </w:r>
    </w:p>
    <w:p>
      <w:pPr>
        <w:spacing w:after="0" w:line="15" w:lineRule="exact"/>
        <w:rPr>
          <w:rFonts w:ascii="Times New Roman" w:cs="Times New Roman" w:eastAsia="Times New Roman" w:hAnsi="Times New Roman"/>
          <w:sz w:val="18"/>
          <w:szCs w:val="18"/>
          <w:color w:val="auto"/>
        </w:rPr>
      </w:pPr>
    </w:p>
    <w:p>
      <w:pPr>
        <w:ind w:left="1000" w:right="44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patented CAB technology platform, and our future success depends heavily on the successful development of this platform.</w:t>
      </w:r>
    </w:p>
    <w:p>
      <w:pPr>
        <w:spacing w:after="0" w:line="87" w:lineRule="exact"/>
        <w:rPr>
          <w:rFonts w:ascii="Times New Roman" w:cs="Times New Roman" w:eastAsia="Times New Roman" w:hAnsi="Times New Roman"/>
          <w:sz w:val="18"/>
          <w:szCs w:val="18"/>
          <w:color w:val="auto"/>
        </w:rPr>
      </w:pPr>
    </w:p>
    <w:p>
      <w:pPr>
        <w:ind w:left="1000" w:right="40" w:hanging="36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resources to pursue particular product candidates and fail to capitalize on product candidates that may be more profitable or for which there is a greater likelihood of success.</w:t>
      </w:r>
    </w:p>
    <w:p>
      <w:pPr>
        <w:spacing w:after="0" w:line="54" w:lineRule="exact"/>
        <w:rPr>
          <w:rFonts w:ascii="Times New Roman" w:cs="Times New Roman" w:eastAsia="Times New Roman" w:hAnsi="Times New Roman"/>
          <w:sz w:val="18"/>
          <w:szCs w:val="18"/>
          <w:color w:val="auto"/>
        </w:rPr>
      </w:pPr>
    </w:p>
    <w:p>
      <w:pPr>
        <w:ind w:left="1000" w:right="580" w:hanging="36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40" w:lineRule="exact"/>
        <w:rPr>
          <w:rFonts w:ascii="Times New Roman" w:cs="Times New Roman" w:eastAsia="Times New Roman" w:hAnsi="Times New Roman"/>
          <w:sz w:val="18"/>
          <w:szCs w:val="18"/>
          <w:color w:val="auto"/>
        </w:rPr>
      </w:pPr>
    </w:p>
    <w:p>
      <w:pPr>
        <w:ind w:left="1000" w:right="260" w:hanging="36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67" w:lineRule="exact"/>
        <w:rPr>
          <w:rFonts w:ascii="Times New Roman" w:cs="Times New Roman" w:eastAsia="Times New Roman" w:hAnsi="Times New Roman"/>
          <w:sz w:val="18"/>
          <w:szCs w:val="18"/>
          <w:color w:val="auto"/>
        </w:rPr>
      </w:pPr>
    </w:p>
    <w:p>
      <w:pPr>
        <w:ind w:left="1000" w:right="120" w:hanging="36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4" w:lineRule="exact"/>
        <w:rPr>
          <w:rFonts w:ascii="Times New Roman" w:cs="Times New Roman" w:eastAsia="Times New Roman" w:hAnsi="Times New Roman"/>
          <w:sz w:val="18"/>
          <w:szCs w:val="18"/>
          <w:color w:val="auto"/>
        </w:rPr>
      </w:pPr>
    </w:p>
    <w:p>
      <w:pPr>
        <w:ind w:left="1000" w:right="980" w:hanging="36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and completion of clinical trials could increase costs and delay or prevent regulatory approval and commercialization of our product candidates.</w:t>
      </w:r>
    </w:p>
    <w:p>
      <w:pPr>
        <w:spacing w:after="0" w:line="40" w:lineRule="exact"/>
        <w:rPr>
          <w:rFonts w:ascii="Times New Roman" w:cs="Times New Roman" w:eastAsia="Times New Roman" w:hAnsi="Times New Roman"/>
          <w:sz w:val="18"/>
          <w:szCs w:val="18"/>
          <w:color w:val="auto"/>
        </w:rPr>
      </w:pPr>
    </w:p>
    <w:p>
      <w:pPr>
        <w:ind w:left="1000" w:right="80" w:hanging="36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U.S. or foreign regulatory approval and, as a result, unable to commercialize our product candidates.</w:t>
      </w:r>
    </w:p>
    <w:p>
      <w:pPr>
        <w:spacing w:after="0" w:line="117" w:lineRule="exact"/>
        <w:rPr>
          <w:rFonts w:ascii="Times New Roman" w:cs="Times New Roman" w:eastAsia="Times New Roman" w:hAnsi="Times New Roman"/>
          <w:sz w:val="18"/>
          <w:szCs w:val="18"/>
          <w:color w:val="auto"/>
        </w:rPr>
      </w:pPr>
    </w:p>
    <w:p>
      <w:pPr>
        <w:jc w:val="both"/>
        <w:ind w:left="1000" w:right="120" w:hanging="368"/>
        <w:spacing w:after="0" w:line="25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82" w:lineRule="exact"/>
        <w:rPr>
          <w:rFonts w:ascii="Times New Roman" w:cs="Times New Roman" w:eastAsia="Times New Roman" w:hAnsi="Times New Roman"/>
          <w:sz w:val="18"/>
          <w:szCs w:val="18"/>
          <w:color w:val="auto"/>
        </w:rPr>
      </w:pPr>
    </w:p>
    <w:p>
      <w:pPr>
        <w:ind w:left="1000" w:right="80" w:hanging="36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54" w:lineRule="exact"/>
        <w:rPr>
          <w:rFonts w:ascii="Times New Roman" w:cs="Times New Roman" w:eastAsia="Times New Roman" w:hAnsi="Times New Roman"/>
          <w:sz w:val="18"/>
          <w:szCs w:val="18"/>
          <w:color w:val="auto"/>
        </w:rPr>
      </w:pPr>
    </w:p>
    <w:p>
      <w:pPr>
        <w:ind w:left="1000" w:right="560" w:hanging="36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senior management and key scientific personnel, our business may be materially and adversely affected.</w:t>
      </w:r>
    </w:p>
    <w:p>
      <w:pPr>
        <w:spacing w:after="0" w:line="40" w:lineRule="exact"/>
        <w:rPr>
          <w:rFonts w:ascii="Times New Roman" w:cs="Times New Roman" w:eastAsia="Times New Roman" w:hAnsi="Times New Roman"/>
          <w:sz w:val="18"/>
          <w:szCs w:val="18"/>
          <w:color w:val="auto"/>
        </w:rPr>
      </w:pPr>
    </w:p>
    <w:p>
      <w:pPr>
        <w:ind w:left="1000" w:right="140" w:hanging="36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7" w:lineRule="exact"/>
        <w:rPr>
          <w:rFonts w:ascii="Times New Roman" w:cs="Times New Roman" w:eastAsia="Times New Roman" w:hAnsi="Times New Roman"/>
          <w:sz w:val="18"/>
          <w:szCs w:val="18"/>
          <w:color w:val="auto"/>
        </w:rPr>
      </w:pPr>
    </w:p>
    <w:p>
      <w:pPr>
        <w:ind w:left="1000" w:hanging="368"/>
        <w:spacing w:after="0" w:line="25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82" w:lineRule="exact"/>
        <w:rPr>
          <w:rFonts w:ascii="Times New Roman" w:cs="Times New Roman" w:eastAsia="Times New Roman" w:hAnsi="Times New Roman"/>
          <w:sz w:val="18"/>
          <w:szCs w:val="18"/>
          <w:color w:val="auto"/>
        </w:rPr>
      </w:pPr>
    </w:p>
    <w:p>
      <w:pPr>
        <w:ind w:left="1000" w:right="40" w:hanging="368"/>
        <w:spacing w:after="0" w:line="24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25" w:name="page26"/>
    <w:bookmarkEnd w:id="25"/>
    <w:p>
      <w:pPr>
        <w:jc w:val="both"/>
        <w:ind w:left="1000" w:right="120" w:hanging="36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61" w:lineRule="exact"/>
        <w:rPr>
          <w:rFonts w:ascii="Times New Roman" w:cs="Times New Roman" w:eastAsia="Times New Roman" w:hAnsi="Times New Roman"/>
          <w:sz w:val="18"/>
          <w:szCs w:val="18"/>
          <w:color w:val="auto"/>
        </w:rPr>
      </w:pPr>
    </w:p>
    <w:p>
      <w:pPr>
        <w:ind w:left="1000" w:hanging="36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1" w:lineRule="exact"/>
        <w:rPr>
          <w:rFonts w:ascii="Times New Roman" w:cs="Times New Roman" w:eastAsia="Times New Roman" w:hAnsi="Times New Roman"/>
          <w:sz w:val="18"/>
          <w:szCs w:val="18"/>
          <w:color w:val="auto"/>
        </w:rPr>
      </w:pPr>
    </w:p>
    <w:p>
      <w:pPr>
        <w:ind w:left="1000" w:right="20" w:hanging="36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61"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issuance of equity or of debt securities that are convertible into equity will dilute our share capital.</w:t>
      </w:r>
    </w:p>
    <w:p>
      <w:pPr>
        <w:spacing w:after="0" w:line="103" w:lineRule="exact"/>
        <w:rPr>
          <w:rFonts w:ascii="Times New Roman" w:cs="Times New Roman" w:eastAsia="Times New Roman" w:hAnsi="Times New Roman"/>
          <w:sz w:val="18"/>
          <w:szCs w:val="18"/>
          <w:color w:val="auto"/>
        </w:rPr>
      </w:pPr>
    </w:p>
    <w:p>
      <w:pPr>
        <w:ind w:left="1000" w:right="52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8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and ozuriftamab vedotin,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8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$95.4 million and $35.9 million for the years ended December 31, 2021 and 2020, respectively. For the six months ended June 30, 2022 and 2021, our net losses were $53.2 million and $49.1 million, respectively. As of June 30, 2022, we had an accumulated deficit of $239.5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w:t>
      </w:r>
    </w:p>
    <w:p>
      <w:pPr>
        <w:spacing w:after="0" w:line="18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6" w:name="page27"/>
    <w:bookmarkEnd w:id="2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3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mecbotamab vedotin, ozuriftamab vedotin and BA3071 and advance our other programs.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6"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As of June 30, 2022, we had approximately $202.3 million in cash and cash equivalents. Based on our current operating plan, our current cash and cash equivalents are expected to be sufficient to fund our ongoing operations into the second half of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87" w:lineRule="exact"/>
        <w:rPr>
          <w:sz w:val="20"/>
          <w:szCs w:val="20"/>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ongoing clinical trials for mecbotamab vedotin and ozuriftamab vedotin;</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clinical development efforts for BA3071;</w:t>
      </w:r>
    </w:p>
    <w:p>
      <w:pPr>
        <w:spacing w:after="0" w:line="103"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agreements with whom we have entered or may in the future enter into collaborations and research and development agreements;</w:t>
      </w:r>
    </w:p>
    <w:p>
      <w:pPr>
        <w:spacing w:after="0" w:line="40"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our collaboration agreements;</w:t>
      </w:r>
    </w:p>
    <w:p>
      <w:pPr>
        <w:spacing w:after="0" w:line="103" w:lineRule="exact"/>
        <w:rPr>
          <w:rFonts w:ascii="Times New Roman" w:cs="Times New Roman" w:eastAsia="Times New Roman" w:hAnsi="Times New Roman"/>
          <w:sz w:val="18"/>
          <w:szCs w:val="18"/>
          <w:color w:val="auto"/>
        </w:rPr>
      </w:pPr>
    </w:p>
    <w:p>
      <w:pPr>
        <w:ind w:left="1000" w:right="34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collaboration and research and development programs or possibly establish new collaboration arrangements;</w:t>
      </w:r>
    </w:p>
    <w:p>
      <w:pPr>
        <w:spacing w:after="0" w:line="40"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00" w:right="720" w:hanging="36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 satisfy our obligations as a public company.</w:t>
      </w:r>
    </w:p>
    <w:p>
      <w:pPr>
        <w:spacing w:after="0" w:line="16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7" w:name="page28"/>
    <w:bookmarkEnd w:id="27"/>
    <w:p>
      <w:pPr>
        <w:spacing w:after="0" w:line="244" w:lineRule="auto"/>
        <w:rPr>
          <w:sz w:val="20"/>
          <w:szCs w:val="20"/>
          <w:color w:val="auto"/>
        </w:rPr>
      </w:pPr>
      <w:r>
        <w:rPr>
          <w:rFonts w:ascii="Times New Roman" w:cs="Times New Roman" w:eastAsia="Times New Roman" w:hAnsi="Times New Roman"/>
          <w:sz w:val="18"/>
          <w:szCs w:val="18"/>
          <w:color w:val="auto"/>
        </w:rPr>
        <w:t>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0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6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have no products on the market and our product candidates are in various stages of development. We are currently conducting Phase 2 clinical trials of mecbotamab vedotin and ozuriftamab vedotin; we expect first patient dosed in our Phase 1 trials of BA3071 in the second half of 2022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In addition, the FDA may not agree with our clinical trial plans. For example, we have initiated potentially registration-enabling Phase 2 trials for mecbotamab vedotin in treatment-refractory sarcoma patients and treatment-refractory NSCLC patients. The FDA has reviewed the trial designs but has not opined on whether the Phase 2 clinical trials will in fact be sufficient to support regulatory approval. However, we intend to ask the FDA to consider this further at the planned interim data review point or points. We cannot assure you that the FDA will agree that such data will be sufficient to support approval.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w:t>
      </w:r>
    </w:p>
    <w:p>
      <w:pPr>
        <w:spacing w:after="0" w:line="81" w:lineRule="exact"/>
        <w:rPr>
          <w:sz w:val="20"/>
          <w:szCs w:val="20"/>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resulting from factors including those related to the COVID-19 pandemic;</w:t>
      </w:r>
    </w:p>
    <w:p>
      <w:pPr>
        <w:spacing w:after="0" w:line="117" w:lineRule="exact"/>
        <w:rPr>
          <w:rFonts w:ascii="Times New Roman" w:cs="Times New Roman" w:eastAsia="Times New Roman" w:hAnsi="Times New Roman"/>
          <w:sz w:val="18"/>
          <w:szCs w:val="18"/>
          <w:color w:val="auto"/>
        </w:rPr>
      </w:pPr>
    </w:p>
    <w:p>
      <w:pPr>
        <w:ind w:left="1000" w:right="60" w:hanging="36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54" w:lineRule="exact"/>
        <w:rPr>
          <w:rFonts w:ascii="Times New Roman" w:cs="Times New Roman" w:eastAsia="Times New Roman" w:hAnsi="Times New Roman"/>
          <w:sz w:val="18"/>
          <w:szCs w:val="18"/>
          <w:color w:val="auto"/>
        </w:rPr>
      </w:pPr>
    </w:p>
    <w:p>
      <w:pPr>
        <w:ind w:left="1000" w:right="20" w:hanging="36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clinical trials or by individuals using therapeutic biologics that share characteristics with our product candidates;</w:t>
      </w:r>
    </w:p>
    <w:p>
      <w:pPr>
        <w:spacing w:after="0" w:line="40" w:lineRule="exact"/>
        <w:rPr>
          <w:rFonts w:ascii="Times New Roman" w:cs="Times New Roman" w:eastAsia="Times New Roman" w:hAnsi="Times New Roman"/>
          <w:sz w:val="18"/>
          <w:szCs w:val="18"/>
          <w:color w:val="auto"/>
        </w:rPr>
      </w:pPr>
    </w:p>
    <w:p>
      <w:pPr>
        <w:ind w:left="1000" w:right="360" w:hanging="36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including the EMA, regarding the scope or design of clinical trials;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drug materials or other supplies necessary for the conduct of our clinical trials;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our third-party manufacturers’ manufacturing processes or facilities;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ind w:left="1000" w:right="300" w:hanging="368"/>
        <w:spacing w:after="0" w:line="312"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8" w:lineRule="exact"/>
        <w:rPr>
          <w:rFonts w:ascii="Times New Roman" w:cs="Times New Roman" w:eastAsia="Times New Roman" w:hAnsi="Times New Roman"/>
          <w:sz w:val="17"/>
          <w:szCs w:val="17"/>
          <w:color w:val="auto"/>
        </w:rPr>
      </w:pPr>
    </w:p>
    <w:p>
      <w:pPr>
        <w:ind w:left="1000" w:right="260" w:hanging="36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00" w:right="400" w:hanging="36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 including the EMA.</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66"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63"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would be required to abandon or redesign all of our current product candidates, which could have a material adverse effect on our business, financial condition, results of operations and prospects.</w:t>
      </w:r>
    </w:p>
    <w:p>
      <w:pPr>
        <w:spacing w:after="0" w:line="29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50"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We are using our patented technology platform to develop CABs in oncology indications with our lead product candidates mecbotamab vedotin and ozuriftamab vedotin,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89"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0"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50"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focus our product candidate development on therapeutic CAB antibodies for the treatment of various oncology indications, such as soft tissue and bone sarcoma, NSCLC, melanoma, ovarian cancer, and head and neck cancer among others. Our projections of</w:t>
      </w: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ind w:right="120"/>
        <w:spacing w:after="0" w:line="246" w:lineRule="auto"/>
        <w:rPr>
          <w:sz w:val="20"/>
          <w:szCs w:val="20"/>
          <w:color w:val="auto"/>
        </w:rPr>
      </w:pPr>
      <w:r>
        <w:rPr>
          <w:rFonts w:ascii="Times New Roman" w:cs="Times New Roman" w:eastAsia="Times New Roman" w:hAnsi="Times New Roman"/>
          <w:sz w:val="18"/>
          <w:szCs w:val="18"/>
          <w:color w:val="auto"/>
        </w:rPr>
        <w:t>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In addition, the subset of patients that are likely to respond to our product candidates, as identified by our quantitative biomarker assay/Target Membrane Percent Score ("TmPS"), may not correspond with and may be smaller than what market data may indicate.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3"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5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69" w:lineRule="exact"/>
        <w:rPr>
          <w:sz w:val="20"/>
          <w:szCs w:val="20"/>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 including the EMA;</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obtain biopsies to determine the TmPS score for treatment eligibility;</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physician education programs;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third-party payor reimbursement;</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03" w:lineRule="exact"/>
        <w:rPr>
          <w:rFonts w:ascii="Times New Roman" w:cs="Times New Roman" w:eastAsia="Times New Roman" w:hAnsi="Times New Roman"/>
          <w:sz w:val="18"/>
          <w:szCs w:val="18"/>
          <w:color w:val="auto"/>
        </w:rPr>
      </w:pPr>
    </w:p>
    <w:p>
      <w:pPr>
        <w:ind w:left="1000" w:right="30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4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8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5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including in our Phase 2 clinical trials of mecbotamab vedotin for the treatment of soft tissue and bone sarcoma and for the treatment of refractory NSCLC, in our Phase 2 clinical trial of ozuriftamab vedotin for the treatment of refractory melanoma and NSCLC and in any subsequent or post-marketing confirmatory clinical trials.</w:t>
      </w:r>
    </w:p>
    <w:p>
      <w:pPr>
        <w:spacing w:after="0" w:line="7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w:t>
      </w: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ind w:right="20"/>
        <w:spacing w:after="0" w:line="242" w:lineRule="auto"/>
        <w:rPr>
          <w:sz w:val="20"/>
          <w:szCs w:val="20"/>
          <w:color w:val="auto"/>
        </w:rPr>
      </w:pPr>
      <w:r>
        <w:rPr>
          <w:rFonts w:ascii="Times New Roman" w:cs="Times New Roman" w:eastAsia="Times New Roman" w:hAnsi="Times New Roman"/>
          <w:sz w:val="18"/>
          <w:szCs w:val="18"/>
          <w:color w:val="auto"/>
        </w:rPr>
        <w:t>EMA or comparable foreign regulatory authority approval. We cannot guarantee that the FDA will agree with our clinical trial plans. For example, we have initiated potentially registration-enabling Phase 2 trials for mecbotamab vedotin in treatment-refractory sarcoma patients and treatment-refractory NSCLC. The FDA has reviewed the trial designs but has not yet opined on whether the Phase 2 clinical trials will in fact be sufficient to support regulatory approval. However, we intend to ask the FDA to consider this further at the planned interim data review point or points. We cannot assure you that the FDA will agree that such data will be sufficient to support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94"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8"/>
          <w:szCs w:val="18"/>
          <w:color w:val="auto"/>
        </w:rPr>
        <w:t>Furthermore, while multi-center investigator-initiated clinical trials of mecbotamab vedotin and ozuriftamab vedotin in patients with platinum-resistant ovarian cancer started to enroll patients in Canada in 2022,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310"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5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20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8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37" w:lineRule="exact"/>
        <w:rPr>
          <w:sz w:val="20"/>
          <w:szCs w:val="20"/>
          <w:color w:val="auto"/>
        </w:rPr>
      </w:pPr>
    </w:p>
    <w:p>
      <w:pPr>
        <w:jc w:val="both"/>
        <w:ind w:right="200" w:firstLine="509"/>
        <w:spacing w:after="0" w:line="247" w:lineRule="auto"/>
        <w:rPr>
          <w:sz w:val="20"/>
          <w:szCs w:val="20"/>
          <w:color w:val="auto"/>
        </w:rPr>
      </w:pPr>
      <w:r>
        <w:rPr>
          <w:rFonts w:ascii="Times New Roman" w:cs="Times New Roman" w:eastAsia="Times New Roman" w:hAnsi="Times New Roman"/>
          <w:sz w:val="18"/>
          <w:szCs w:val="18"/>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preclinical data;</w:t>
      </w:r>
    </w:p>
    <w:p>
      <w:pPr>
        <w:spacing w:after="0" w:line="117" w:lineRule="exact"/>
        <w:rPr>
          <w:rFonts w:ascii="Times New Roman" w:cs="Times New Roman" w:eastAsia="Times New Roman" w:hAnsi="Times New Roman"/>
          <w:sz w:val="18"/>
          <w:szCs w:val="18"/>
          <w:color w:val="auto"/>
        </w:rPr>
      </w:pPr>
    </w:p>
    <w:p>
      <w:pPr>
        <w:ind w:left="1000" w:right="60" w:hanging="36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 consensus with regulatory authorities on study design;</w:t>
      </w:r>
    </w:p>
    <w:p>
      <w:pPr>
        <w:spacing w:after="0" w:line="117" w:lineRule="exact"/>
        <w:rPr>
          <w:rFonts w:ascii="Times New Roman" w:cs="Times New Roman" w:eastAsia="Times New Roman" w:hAnsi="Times New Roman"/>
          <w:sz w:val="18"/>
          <w:szCs w:val="18"/>
          <w:color w:val="auto"/>
        </w:rPr>
      </w:pPr>
    </w:p>
    <w:p>
      <w:pPr>
        <w:ind w:left="1000" w:right="200" w:hanging="36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IRB approval at each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trial;</w:t>
      </w:r>
    </w:p>
    <w:p>
      <w:pPr>
        <w:spacing w:after="0" w:line="103" w:lineRule="exact"/>
        <w:rPr>
          <w:rFonts w:ascii="Times New Roman" w:cs="Times New Roman" w:eastAsia="Times New Roman" w:hAnsi="Times New Roman"/>
          <w:sz w:val="18"/>
          <w:szCs w:val="18"/>
          <w:color w:val="auto"/>
        </w:rPr>
      </w:pPr>
    </w:p>
    <w:p>
      <w:pPr>
        <w:ind w:left="1000" w:right="380" w:hanging="36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clinical trials to ensure adequate statistical power to detect statistically significant treatment effects;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54"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40"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adding new clinical trial sites;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acceptable product candidate for use in clinical trials in a timely manner, or at all; or</w:t>
      </w:r>
    </w:p>
    <w:p>
      <w:pPr>
        <w:spacing w:after="0" w:line="103" w:lineRule="exact"/>
        <w:rPr>
          <w:rFonts w:ascii="Times New Roman" w:cs="Times New Roman" w:eastAsia="Times New Roman" w:hAnsi="Times New Roman"/>
          <w:sz w:val="18"/>
          <w:szCs w:val="18"/>
          <w:color w:val="auto"/>
        </w:rPr>
      </w:pPr>
    </w:p>
    <w:p>
      <w:pPr>
        <w:ind w:left="1000" w:hanging="368"/>
        <w:spacing w:after="0" w:line="250"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which continues to adversely affect the pace of patient enrollment in clinical trials, also has caused clinical sites to redirect personnel and resources to focus on immediate and often unplanned numbers and needs of COVID-19 patients. In addition, the pandemic may result in clinical site closures, delays to patient enrollment, patients discontinuing their treatment or follow up visits or changes to trial protocols.</w:t>
      </w:r>
    </w:p>
    <w:p>
      <w:pPr>
        <w:spacing w:after="0" w:line="19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73"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 For example, we may face difficulty enrolling a sufficient number of patients in a timely manner in our clinical trials for mecbotamab vedotin and ozuriftamab vedotin due to the limited number of suitable patients meeting the required AXL or ROR2 tumor membrane expression levels.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ind w:firstLine="509"/>
        <w:spacing w:after="0" w:line="242"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the COVID-19 pandemic or other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9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8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63"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95"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In our clinical trials for mecbotamab vedotin and ozuriftamab vedotin, we have observed adverse events such as reversible myelosuppression, transient liver enzyme elevations, pyrexia, or fever, metabolic disturbances and peripheral neuropathy.</w:t>
      </w:r>
    </w:p>
    <w:p>
      <w:pPr>
        <w:spacing w:after="0" w:line="162"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95"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and ozuriftamab vedotin have demonstrated manageable tolerability profiles thus far, we cannot assure you that these and our other product candidates will not cause more severe side effects in a greater proportion of patients.</w:t>
      </w:r>
    </w:p>
    <w:p>
      <w:pPr>
        <w:spacing w:after="0" w:line="18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In addition, mecbotamab vedotin and ozuriftamab vedotin are being studied in combination with other therapies, which may exacerbate adverse events associated with the therapy. Patients treated with mecbotamab vedotin, ozuriftamab vedotin or our other product candidates may also be undergoing surgical, radiation or chemotherapy treatments, which can cause side effects or adverse events that are unrelated to our product candidate but may still impact the success of our clinical trials.</w:t>
      </w:r>
    </w:p>
    <w:p>
      <w:pPr>
        <w:spacing w:after="0" w:line="191"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mecbotamab vedotin and ozuriftamab vedotin clinical trials may die or experience major clinical events either during the course of our clinical trials or after participating in such trials due mainly to the gravity of their illness, which has occurred in the past.</w:t>
      </w:r>
    </w:p>
    <w:p>
      <w:pPr>
        <w:spacing w:after="0" w:line="1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54" w:lineRule="exact"/>
        <w:rPr>
          <w:sz w:val="20"/>
          <w:szCs w:val="20"/>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their approval of such product, or seek an injunction against its manufacture or</w:t>
      </w:r>
    </w:p>
    <w:p>
      <w:pPr>
        <w:spacing w:after="0" w:line="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distribution;</w:t>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3" w:name="page34"/>
    <w:bookmarkEnd w:id="33"/>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03" w:lineRule="exact"/>
        <w:rPr>
          <w:rFonts w:ascii="Times New Roman" w:cs="Times New Roman" w:eastAsia="Times New Roman" w:hAnsi="Times New Roman"/>
          <w:sz w:val="18"/>
          <w:szCs w:val="18"/>
          <w:color w:val="auto"/>
        </w:rPr>
      </w:pPr>
    </w:p>
    <w:p>
      <w:pPr>
        <w:ind w:left="1000" w:right="480" w:hanging="36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67" w:lineRule="exact"/>
        <w:rPr>
          <w:rFonts w:ascii="Times New Roman" w:cs="Times New Roman" w:eastAsia="Times New Roman" w:hAnsi="Times New Roman"/>
          <w:sz w:val="18"/>
          <w:szCs w:val="18"/>
          <w:color w:val="auto"/>
        </w:rPr>
      </w:pPr>
    </w:p>
    <w:p>
      <w:pPr>
        <w:ind w:left="1000" w:right="140" w:hanging="368"/>
        <w:spacing w:after="0" w:line="296"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30" w:lineRule="exact"/>
        <w:rPr>
          <w:rFonts w:ascii="Times New Roman" w:cs="Times New Roman" w:eastAsia="Times New Roman" w:hAnsi="Times New Roman"/>
          <w:sz w:val="17"/>
          <w:szCs w:val="17"/>
          <w:color w:val="auto"/>
        </w:rPr>
      </w:pPr>
    </w:p>
    <w:p>
      <w:pPr>
        <w:ind w:left="1000" w:right="620" w:hanging="36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and/or create a Medication Guide outlining the risks of such side effects for distribution to patients, a communication plan for healthcare providers and/or other elements to assure safe use;</w:t>
      </w:r>
    </w:p>
    <w:p>
      <w:pPr>
        <w:spacing w:after="0" w:line="40"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7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Currently, we are evaluating the use of each of mecbotamab vedotin and ozuriftamab vedotin in combination with an anti-PD-1 inhibitor and plan to evaluate the use of BA3071 in combination with an anti-PD-1 inhibitor.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86"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It is expected that BA3071 will also be evaluated in combination with an anti-PD-1 antibody in late stage development for solid tumor patients.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73"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86"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are exploring predictive biomarkers to determine patient selection for our clinical trials. Specifically, to help inform which patients may be most suitable for treatment with mecbotamab vedotin and ozuriftamab vedotin, we have developed a quantitative biomarker assay that has been validated in accordance with CLIA requirements, the TmPS, which measures AXL and ROR2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4" w:name="page35"/>
    <w:bookmarkEnd w:id="34"/>
    <w:p>
      <w:pPr>
        <w:ind w:right="140"/>
        <w:spacing w:after="0" w:line="258" w:lineRule="auto"/>
        <w:rPr>
          <w:sz w:val="20"/>
          <w:szCs w:val="20"/>
          <w:color w:val="auto"/>
        </w:rPr>
      </w:pPr>
      <w:r>
        <w:rPr>
          <w:rFonts w:ascii="Times New Roman" w:cs="Times New Roman" w:eastAsia="Times New Roman" w:hAnsi="Times New Roman"/>
          <w:sz w:val="18"/>
          <w:szCs w:val="18"/>
          <w:color w:val="auto"/>
        </w:rPr>
        <w:t>expression levels on the tumor membrane. We are using both AXL and ROR2 TmPS scores in our ongoing clinical trials and they may be used for patient selection in future clinical trials. If the AXL and ROR2 TmPS scores prove to be a useful method for patient selection, we will incorporate the specific diagnostic test into our registrational studies and partner with the appropriate diagnostic provider to codevelop a companion diagnostic.</w:t>
      </w:r>
    </w:p>
    <w:p>
      <w:pPr>
        <w:spacing w:after="0" w:line="6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If use of a companion diagnostic test is essential for the safe and effective use of any of our product candidates, such as mecbotamab vedotin and ozuriftamab vedotin, then the FDA generally will require approval or clearance of that companion diagnostic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76"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expect to rely on third parties for the design, development and manufacture of companion diagnostic tests for our product candidates that require such tests. 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28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0"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7"/>
          <w:szCs w:val="17"/>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 -how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firstLine="509"/>
        <w:spacing w:after="0" w:line="243"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6"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0"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biologic product candidates for which we intend to seek approval may face competition through an abbreviated pathway.</w:t>
      </w:r>
    </w:p>
    <w:p>
      <w:pPr>
        <w:spacing w:after="0" w:line="108"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9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p>
    <w:p>
      <w:pPr>
        <w:spacing w:after="0" w:line="28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63"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6" w:name="page37"/>
    <w:bookmarkEnd w:id="36"/>
    <w:p>
      <w:pPr>
        <w:ind w:right="240"/>
        <w:spacing w:after="0" w:line="282" w:lineRule="auto"/>
        <w:rPr>
          <w:sz w:val="20"/>
          <w:szCs w:val="20"/>
          <w:color w:val="auto"/>
        </w:rPr>
      </w:pPr>
      <w:r>
        <w:rPr>
          <w:rFonts w:ascii="Times New Roman" w:cs="Times New Roman" w:eastAsia="Times New Roman" w:hAnsi="Times New Roman"/>
          <w:sz w:val="18"/>
          <w:szCs w:val="18"/>
          <w:color w:val="auto"/>
        </w:rPr>
        <w:t>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unable to commercialize our product candidates.</w:t>
      </w:r>
    </w:p>
    <w:p>
      <w:pPr>
        <w:spacing w:after="0" w:line="12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8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03" w:lineRule="exact"/>
        <w:rPr>
          <w:rFonts w:ascii="Times New Roman" w:cs="Times New Roman" w:eastAsia="Times New Roman" w:hAnsi="Times New Roman"/>
          <w:sz w:val="18"/>
          <w:szCs w:val="18"/>
          <w:color w:val="auto"/>
        </w:rPr>
      </w:pPr>
    </w:p>
    <w:p>
      <w:pPr>
        <w:ind w:left="1000" w:right="80" w:hanging="36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54"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40"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a sufficient response rate or duration of response for a product candidate;</w:t>
      </w:r>
    </w:p>
    <w:p>
      <w:pPr>
        <w:spacing w:after="0" w:line="117" w:lineRule="exact"/>
        <w:rPr>
          <w:rFonts w:ascii="Times New Roman" w:cs="Times New Roman" w:eastAsia="Times New Roman" w:hAnsi="Times New Roman"/>
          <w:sz w:val="18"/>
          <w:szCs w:val="18"/>
          <w:color w:val="auto"/>
        </w:rPr>
      </w:pPr>
    </w:p>
    <w:p>
      <w:pPr>
        <w:ind w:left="1000" w:right="660" w:hanging="36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54" w:lineRule="exact"/>
        <w:rPr>
          <w:rFonts w:ascii="Times New Roman" w:cs="Times New Roman" w:eastAsia="Times New Roman" w:hAnsi="Times New Roman"/>
          <w:sz w:val="18"/>
          <w:szCs w:val="18"/>
          <w:color w:val="auto"/>
        </w:rPr>
      </w:pPr>
    </w:p>
    <w:p>
      <w:pPr>
        <w:ind w:left="1000" w:right="28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40" w:lineRule="exact"/>
        <w:rPr>
          <w:rFonts w:ascii="Times New Roman" w:cs="Times New Roman" w:eastAsia="Times New Roman" w:hAnsi="Times New Roman"/>
          <w:sz w:val="18"/>
          <w:szCs w:val="18"/>
          <w:color w:val="auto"/>
        </w:rPr>
      </w:pPr>
    </w:p>
    <w:p>
      <w:pPr>
        <w:ind w:left="1000" w:right="420" w:hanging="36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6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7" w:name="page38"/>
    <w:bookmarkEnd w:id="37"/>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8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3"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We intend to seek accelerated approval for mecbotamab vedotin and ozuriftamab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post-marketing confirmatory trials are required to verify and describe the anticipated effect on irreversible morbidity or mortality or other clinical benefit. These confirmatory trials must be completed with due diligence, and the FDA may require that the trial be designed, initiated, and/or fully enrolled prior to approval. If we were to pursue accelerated approval for a product candidate for a disease or condition, we would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9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3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87"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8" w:name="page39"/>
    <w:bookmarkEnd w:id="38"/>
    <w:p>
      <w:pPr>
        <w:ind w:right="20"/>
        <w:spacing w:after="0" w:line="282" w:lineRule="auto"/>
        <w:rPr>
          <w:sz w:val="20"/>
          <w:szCs w:val="20"/>
          <w:color w:val="auto"/>
        </w:rPr>
      </w:pPr>
      <w:r>
        <w:rPr>
          <w:rFonts w:ascii="Times New Roman" w:cs="Times New Roman" w:eastAsia="Times New Roman" w:hAnsi="Times New Roman"/>
          <w:sz w:val="18"/>
          <w:szCs w:val="18"/>
          <w:color w:val="auto"/>
        </w:rPr>
        <w:t>who meet certain safe-use criteria and requiring treated patients to enroll in a registry. These limitations and restrictions may limit the size of the market for the product and affect reimbursement by third-party payors.</w:t>
      </w:r>
    </w:p>
    <w:p>
      <w:pPr>
        <w:spacing w:after="0" w:line="148"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the FDA’s Good Clinical Practices, or GCP,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93" w:lineRule="exact"/>
        <w:rPr>
          <w:sz w:val="20"/>
          <w:szCs w:val="20"/>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1000" w:right="580" w:hanging="36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7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7"/>
          <w:szCs w:val="17"/>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6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9" w:name="page40"/>
    <w:bookmarkEnd w:id="39"/>
    <w:p>
      <w:pPr>
        <w:ind w:right="40"/>
        <w:spacing w:after="0" w:line="250" w:lineRule="auto"/>
        <w:rPr>
          <w:sz w:val="20"/>
          <w:szCs w:val="20"/>
          <w:color w:val="auto"/>
        </w:rPr>
      </w:pPr>
      <w:r>
        <w:rPr>
          <w:rFonts w:ascii="Times New Roman" w:cs="Times New Roman" w:eastAsia="Times New Roman" w:hAnsi="Times New Roman"/>
          <w:sz w:val="18"/>
          <w:szCs w:val="18"/>
          <w:color w:val="auto"/>
        </w:rPr>
        <w:t>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6"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85"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08"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physicians may nevertheless use our product for their patients in a manner that is inconsistent with the approved labeling. If we are found to have promoted such off-label uses, we may become subject to significant liability.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0" w:name="page41"/>
    <w:bookmarkEnd w:id="40"/>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8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April 15, 2021, the FDA issued a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is otherwise limited by travel restrictions, but where the FDA determines that a remote evaluation would still be appropriate. Regulatory authorities outside the United States may adopt similar restrictions or other policy measures in response to the COVID-19 pandemic.</w:t>
      </w:r>
    </w:p>
    <w:p>
      <w:pPr>
        <w:spacing w:after="0" w:line="189"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Additionally, as of June 23, 2020, the FDA noted it was continuing to ensure timely reviews of applications for medical products during the COVID-19 pandemic in line with its user fee performance goals. On July 16, 2020, the FDA noted that it is continuing to expedite oncology product development with its staff teleworking full-time.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8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3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3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41" w:name="page42"/>
    <w:bookmarkEnd w:id="41"/>
    <w:p>
      <w:pPr>
        <w:ind w:right="40"/>
        <w:spacing w:after="0" w:line="243" w:lineRule="auto"/>
        <w:rPr>
          <w:sz w:val="20"/>
          <w:szCs w:val="20"/>
          <w:color w:val="auto"/>
        </w:rPr>
      </w:pPr>
      <w:r>
        <w:rPr>
          <w:rFonts w:ascii="Times New Roman" w:cs="Times New Roman" w:eastAsia="Times New Roman" w:hAnsi="Times New Roman"/>
          <w:sz w:val="18"/>
          <w:szCs w:val="18"/>
          <w:color w:val="auto"/>
        </w:rPr>
        <w:t>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08"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For example, in March 2010, the ACA was enacted, which substantially changed the way healthcare is financed by both the government and private insurers and significantly impacted the U.S. pharmaceutical industry. Among other things, the ACA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By way of example, the ACA increased manufacturers’ rebate liability under the Medicaid Drug Rebate Program, imposed a significant annual fee on companies that manufacture or import branded prescription drug products and required manufacturers to provide a discount off the negotiated price of prescriptions filled by beneficiaries in the Medicare Part D coverage gap, referred to as the “donut hole,” which is now 70% of the negotiated price. There have been executive, legislative and judicial efforts to modify, repeal, or otherwise invalidate all, or certain provisions of, the ACA. For example, the Tax Cuts and Jobs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the any future challenges to the ACA and the healthcare reform measures of the Biden administration will impact the ACA and our business. We are continuing to monitor any changes to the ACA that, in turn, may potentially impact our business in the future.</w:t>
      </w:r>
    </w:p>
    <w:p>
      <w:pPr>
        <w:spacing w:after="0" w:line="9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of 2% per fiscal year. These reductions went into effect on April 1, 2013 and, due to subsequent legislative amendments to the statute, will remain in effect through 2030 unless additional Congressional action is taken, with the exception of a temporary suspension from May 1, 2020 through March 31, 2022, and a reduction to the sequestration cut to 1% from April 1, 2022 to June 30, 2022, due to the COVID-19 pandemic.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80"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Furthermore, on September 9, 2021,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and disincentivizing price increases, and to support market changes that strengthen supply chains, promote biosimilars and generic drugs, and increase price transparency. Many similar proposals, including the plans to give Medicare Part D authority to negotiate drug prices, require drug manufacturers to pay rebates on drugs whose prices increase greater than the rate of inflation, and cap out-of-pocket costs, have already been included in policy statements and legislation currently being considered by Congress. It is unclear to what extent these and other statutory, regulatory, and administrative initiatives will be enacted and implemented, and to what extent these or any future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2" w:name="page43"/>
    <w:bookmarkEnd w:id="42"/>
    <w:p>
      <w:pPr>
        <w:ind w:right="520"/>
        <w:spacing w:after="0" w:line="282" w:lineRule="auto"/>
        <w:rPr>
          <w:sz w:val="20"/>
          <w:szCs w:val="20"/>
          <w:color w:val="auto"/>
        </w:rPr>
      </w:pPr>
      <w:r>
        <w:rPr>
          <w:rFonts w:ascii="Times New Roman" w:cs="Times New Roman" w:eastAsia="Times New Roman" w:hAnsi="Times New Roman"/>
          <w:sz w:val="18"/>
          <w:szCs w:val="18"/>
          <w:color w:val="auto"/>
        </w:rPr>
        <w:t>legislation or regulations by the Biden administration will have on our business, including market acceptance, and sales, of our products and product candidates.</w:t>
      </w:r>
    </w:p>
    <w:p>
      <w:pPr>
        <w:spacing w:after="0" w:line="40"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87"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86"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87"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8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86"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73" w:lineRule="exact"/>
        <w:rPr>
          <w:sz w:val="20"/>
          <w:szCs w:val="20"/>
          <w:color w:val="auto"/>
        </w:rPr>
      </w:pPr>
    </w:p>
    <w:p>
      <w:pPr>
        <w:ind w:left="1000" w:right="100" w:hanging="368"/>
        <w:spacing w:after="0" w:line="24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6" w:lineRule="exact"/>
        <w:rPr>
          <w:rFonts w:ascii="Times New Roman" w:cs="Times New Roman" w:eastAsia="Times New Roman" w:hAnsi="Times New Roman"/>
          <w:sz w:val="18"/>
          <w:szCs w:val="18"/>
          <w:color w:val="auto"/>
        </w:rPr>
      </w:pPr>
    </w:p>
    <w:p>
      <w:pPr>
        <w:ind w:left="1000" w:hanging="368"/>
        <w:spacing w:after="0" w:line="247"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w:t>
      </w:r>
    </w:p>
    <w:p>
      <w:pPr>
        <w:ind w:left="1000"/>
        <w:spacing w:after="0" w:line="237" w:lineRule="auto"/>
        <w:rPr>
          <w:sz w:val="20"/>
          <w:szCs w:val="20"/>
          <w:color w:val="auto"/>
        </w:rPr>
      </w:pPr>
      <w:r>
        <w:rPr>
          <w:rFonts w:ascii="Times New Roman" w:cs="Times New Roman" w:eastAsia="Times New Roman" w:hAnsi="Times New Roman"/>
          <w:sz w:val="18"/>
          <w:szCs w:val="18"/>
          <w:color w:val="auto"/>
        </w:rPr>
        <w:t>an obligation to pay money to the federal</w:t>
      </w: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3" w:name="page44"/>
    <w:bookmarkEnd w:id="43"/>
    <w:p>
      <w:pPr>
        <w:ind w:left="1000" w:right="200"/>
        <w:spacing w:after="0" w:line="282" w:lineRule="auto"/>
        <w:rPr>
          <w:sz w:val="20"/>
          <w:szCs w:val="20"/>
          <w:color w:val="auto"/>
        </w:rPr>
      </w:pPr>
      <w:r>
        <w:rPr>
          <w:rFonts w:ascii="Times New Roman" w:cs="Times New Roman" w:eastAsia="Times New Roman" w:hAnsi="Times New Roman"/>
          <w:sz w:val="18"/>
          <w:szCs w:val="18"/>
          <w:color w:val="auto"/>
        </w:rPr>
        <w:t>government. In addition, the government may assert that a claim including items and services resulting from a violation of the federal Anti-Kickback Statute constitutes a false or fraudulent claim for purposes of the False Claims Act;</w:t>
      </w:r>
    </w:p>
    <w:p>
      <w:pPr>
        <w:spacing w:after="0" w:line="40" w:lineRule="exact"/>
        <w:rPr>
          <w:sz w:val="20"/>
          <w:szCs w:val="20"/>
          <w:color w:val="auto"/>
        </w:rPr>
      </w:pPr>
    </w:p>
    <w:p>
      <w:pPr>
        <w:ind w:left="1000" w:right="20" w:hanging="368"/>
        <w:spacing w:after="0" w:line="24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6" w:lineRule="exact"/>
        <w:rPr>
          <w:rFonts w:ascii="Times New Roman" w:cs="Times New Roman" w:eastAsia="Times New Roman" w:hAnsi="Times New Roman"/>
          <w:sz w:val="18"/>
          <w:szCs w:val="18"/>
          <w:color w:val="auto"/>
        </w:rPr>
      </w:pPr>
    </w:p>
    <w:p>
      <w:pPr>
        <w:ind w:left="1020" w:hanging="383"/>
        <w:spacing w:after="0" w:line="24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or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3" w:lineRule="exact"/>
        <w:rPr>
          <w:rFonts w:ascii="Times New Roman" w:cs="Times New Roman" w:eastAsia="Times New Roman" w:hAnsi="Times New Roman"/>
          <w:sz w:val="18"/>
          <w:szCs w:val="18"/>
          <w:color w:val="auto"/>
        </w:rPr>
      </w:pPr>
    </w:p>
    <w:p>
      <w:pPr>
        <w:ind w:left="1000" w:right="800" w:hanging="36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customers;</w:t>
      </w:r>
    </w:p>
    <w:p>
      <w:pPr>
        <w:spacing w:after="0" w:line="40" w:lineRule="exact"/>
        <w:rPr>
          <w:rFonts w:ascii="Times New Roman" w:cs="Times New Roman" w:eastAsia="Times New Roman" w:hAnsi="Times New Roman"/>
          <w:sz w:val="18"/>
          <w:szCs w:val="18"/>
          <w:color w:val="auto"/>
        </w:rPr>
      </w:pPr>
    </w:p>
    <w:p>
      <w:pPr>
        <w:ind w:left="1000" w:right="140" w:hanging="368"/>
        <w:spacing w:after="0" w:line="264" w:lineRule="auto"/>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72" w:lineRule="exact"/>
        <w:rPr>
          <w:rFonts w:ascii="Times New Roman" w:cs="Times New Roman" w:eastAsia="Times New Roman" w:hAnsi="Times New Roman"/>
          <w:sz w:val="17"/>
          <w:szCs w:val="17"/>
          <w:color w:val="auto"/>
        </w:rPr>
      </w:pPr>
    </w:p>
    <w:p>
      <w:pPr>
        <w:ind w:left="1000" w:right="40" w:hanging="368"/>
        <w:spacing w:after="0" w:line="24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20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geographical scope of European Union data protection law to non-European Union entities under certain conditions, tightens existing European Union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4" w:name="page45"/>
    <w:bookmarkEnd w:id="44"/>
    <w:p>
      <w:pPr>
        <w:ind w:right="80"/>
        <w:spacing w:after="0" w:line="244" w:lineRule="auto"/>
        <w:rPr>
          <w:sz w:val="20"/>
          <w:szCs w:val="20"/>
          <w:color w:val="auto"/>
        </w:rPr>
      </w:pPr>
      <w:r>
        <w:rPr>
          <w:rFonts w:ascii="Times New Roman" w:cs="Times New Roman" w:eastAsia="Times New Roman" w:hAnsi="Times New Roman"/>
          <w:sz w:val="18"/>
          <w:szCs w:val="18"/>
          <w:color w:val="auto"/>
        </w:rPr>
        <w:t>individual rights, with respect to personal information, and such laws may differ from each other, all of which may complicate compliance efforts. For example, on June 28, 2018, the State of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Additionally, although not effective until January 1, 2023, the CPRA, which expands upon the CCPA, was passed in the November 2020 election. The CCPA has created new individual privacy rights and places increased privacy and security obligations on entities handling personal information. The CPRA significantly modifies the CCPA, including by expanding consumers’ rights with respect to certain personal information and creating a new state agency to oversee implementation and enforcement efforts. The CCPA and CPRA may increase our compliance costs and potential liability, and similar laws have been proposed at the federal level and in other states.</w:t>
      </w:r>
    </w:p>
    <w:p>
      <w:pPr>
        <w:spacing w:after="0" w:line="185"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3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08"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29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8"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spacing w:after="0" w:line="246" w:lineRule="auto"/>
        <w:rPr>
          <w:sz w:val="20"/>
          <w:szCs w:val="20"/>
          <w:color w:val="auto"/>
        </w:rPr>
      </w:pPr>
      <w:r>
        <w:rPr>
          <w:rFonts w:ascii="Times New Roman" w:cs="Times New Roman" w:eastAsia="Times New Roman" w:hAnsi="Times New Roman"/>
          <w:sz w:val="18"/>
          <w:szCs w:val="18"/>
          <w:color w:val="auto"/>
        </w:rPr>
        <w:t>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8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and our third-party contractors are subject to numerous environmental, health and safety laws and regulations, including those governing</w:t>
      </w:r>
    </w:p>
    <w:p>
      <w:pPr>
        <w:spacing w:after="0" w:line="2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8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91"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senior management and key scientific personnel, our business may be materially and adversely affected.</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clinical and scientific</w:t>
      </w:r>
    </w:p>
    <w:p>
      <w:pPr>
        <w:spacing w:after="0" w:line="16"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personnel. We are highly dependent upon members of our senior management, including Jay M. Short, Ph.D., our Chairman and Chief Executive Officer and Scott Smith, our President, as well as our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98"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8"/>
          <w:szCs w:val="18"/>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0"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6" w:name="page47"/>
    <w:bookmarkEnd w:id="46"/>
    <w:p>
      <w:pPr>
        <w:ind w:right="20"/>
        <w:spacing w:after="0" w:line="246" w:lineRule="auto"/>
        <w:rPr>
          <w:sz w:val="20"/>
          <w:szCs w:val="20"/>
          <w:color w:val="auto"/>
        </w:rPr>
      </w:pPr>
      <w:r>
        <w:rPr>
          <w:rFonts w:ascii="Times New Roman" w:cs="Times New Roman" w:eastAsia="Times New Roman" w:hAnsi="Times New Roman"/>
          <w:sz w:val="18"/>
          <w:szCs w:val="18"/>
          <w:color w:val="auto"/>
        </w:rPr>
        <w:t>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83"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w:t>
      </w:r>
    </w:p>
    <w:p>
      <w:pPr>
        <w:spacing w:after="0" w:line="61" w:lineRule="exact"/>
        <w:rPr>
          <w:sz w:val="20"/>
          <w:szCs w:val="20"/>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383"/>
        <w:spacing w:after="0" w:line="25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mecbotamab vedotin and ozuriftamab vedotin and any other product candidates, while complying with our contractual obligations to contractors and other third parties; and</w:t>
      </w:r>
    </w:p>
    <w:p>
      <w:pPr>
        <w:spacing w:after="0" w:line="82"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1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mecbotamab vedotin, ozuriftamab vedotin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7"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and any future product candidates and, accordingly, may not achieve our research, development and commercialization goals.</w:t>
      </w:r>
    </w:p>
    <w:p>
      <w:pPr>
        <w:spacing w:after="0" w:line="306"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50"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ind w:right="20"/>
        <w:spacing w:after="0" w:line="250" w:lineRule="auto"/>
        <w:rPr>
          <w:sz w:val="20"/>
          <w:szCs w:val="20"/>
          <w:color w:val="auto"/>
        </w:rPr>
      </w:pPr>
      <w:r>
        <w:rPr>
          <w:rFonts w:ascii="Times New Roman" w:cs="Times New Roman" w:eastAsia="Times New Roman" w:hAnsi="Times New Roman"/>
          <w:sz w:val="18"/>
          <w:szCs w:val="18"/>
          <w:color w:val="auto"/>
        </w:rPr>
        <w:t>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8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consultants, existing or future collaborators, may fail or suffer security or data privacy breaches or other unauthorized or improper access to, use of or destruction of our proprietary and confidential data, employee data or personal data, which could result in additional costs, significant liabilities, harm to our reputation and material disruption of our operations.</w:t>
      </w:r>
    </w:p>
    <w:p>
      <w:pPr>
        <w:spacing w:after="0" w:line="66"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any future CROs, manufacturers, other contractors, consultants, existing or future collaborators and other third-party service providers are vulnerable to damage from various methods, including cybersecurity attacks, breaches, intentional or accidental mistakes or errors, or other technological failures, which can include, among other things, computer viruses, unauthorized access attempts, including third parties gaining access to systems using stolen or inferred credentials, denial-of-service attacks, phishing attempts, service disruptions, natural disasters, fire, terrorism, war and telecommunication and electrical failures. As the cyber-threat landscape evolves, these attacks are growing in frequency, sophistication and intensity, and are becoming increasingly difficult to detect. If such an event were to occur and cause interruptions in our operations or result in the unauthorized acquisition of or access to personally identifiable information or individually identifiable health information (violating certain privacy laws such as HIPAA, HITECH, the CCPA and GDPR), it could result in a material disruption of our product candidate development programs and our business operations and we could incur significant liabilities.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18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9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8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BA3021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201" w:lineRule="exact"/>
        <w:rPr>
          <w:sz w:val="20"/>
          <w:szCs w:val="20"/>
          <w:color w:val="auto"/>
        </w:rPr>
      </w:pPr>
    </w:p>
    <w:p>
      <w:pPr>
        <w:jc w:val="both"/>
        <w:ind w:right="20" w:firstLine="509"/>
        <w:spacing w:after="0" w:line="247" w:lineRule="auto"/>
        <w:rPr>
          <w:sz w:val="20"/>
          <w:szCs w:val="20"/>
          <w:color w:val="auto"/>
        </w:rPr>
      </w:pPr>
      <w:r>
        <w:rPr>
          <w:rFonts w:ascii="Times New Roman" w:cs="Times New Roman" w:eastAsia="Times New Roman" w:hAnsi="Times New Roman"/>
          <w:sz w:val="18"/>
          <w:szCs w:val="18"/>
          <w:color w:val="auto"/>
        </w:rPr>
        <w:t>Furthermore, we are exposed to the possibility of disruption of our research and development activities in the event of changes in the policies of the United States or Chinese governments, political unrest or unstable economic conditions in China. For example, a trade war could lead to increased costs for clinical materials that are manufactured in China. These interruptions or failures and any</w:t>
      </w: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ind w:right="40"/>
        <w:spacing w:after="0" w:line="250" w:lineRule="auto"/>
        <w:rPr>
          <w:sz w:val="20"/>
          <w:szCs w:val="20"/>
          <w:color w:val="auto"/>
        </w:rPr>
      </w:pPr>
      <w:r>
        <w:rPr>
          <w:rFonts w:ascii="Times New Roman" w:cs="Times New Roman" w:eastAsia="Times New Roman" w:hAnsi="Times New Roman"/>
          <w:sz w:val="18"/>
          <w:szCs w:val="18"/>
          <w:color w:val="auto"/>
        </w:rPr>
        <w:t>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95" w:lineRule="exact"/>
        <w:rPr>
          <w:sz w:val="20"/>
          <w:szCs w:val="20"/>
          <w:color w:val="auto"/>
        </w:rPr>
      </w:pPr>
    </w:p>
    <w:p>
      <w:pPr>
        <w:ind w:right="3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2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which are stored in a one master cell bank for each antibody manufactured stored in multiple locations.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conducting business internationally.</w:t>
      </w:r>
    </w:p>
    <w:p>
      <w:pPr>
        <w:spacing w:after="0" w:line="12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our collaborators or licensees may seek regulatory approval of our product candidates outside of the United States including in China, the European Union, Australia, New Zealand, and Japan. We conduct preclinical research and development activities in China through BioDuro-Sundia, which is U.S. owned, but governed by Chinese laws.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w:t>
      </w:r>
    </w:p>
    <w:p>
      <w:pPr>
        <w:spacing w:after="0" w:line="73" w:lineRule="exact"/>
        <w:rPr>
          <w:sz w:val="20"/>
          <w:szCs w:val="20"/>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03" w:lineRule="exact"/>
        <w:rPr>
          <w:rFonts w:ascii="Times New Roman" w:cs="Times New Roman" w:eastAsia="Times New Roman" w:hAnsi="Times New Roman"/>
          <w:sz w:val="18"/>
          <w:szCs w:val="18"/>
          <w:color w:val="auto"/>
        </w:rPr>
      </w:pPr>
    </w:p>
    <w:p>
      <w:pPr>
        <w:ind w:left="1000" w:right="440" w:hanging="36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w:t>
      </w:r>
    </w:p>
    <w:p>
      <w:pPr>
        <w:spacing w:after="0" w:line="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intellectual property rights to the same extent as the United States;</w:t>
      </w: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9" w:name="page50"/>
    <w:bookmarkEnd w:id="49"/>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1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Additionally, in February 2022, armed conflict escalated between Russia and Ukraine. It is not possible to predict the broader consequences of this conflict,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2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outbreaks, including the COVID-19 pandemic,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6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face risks related to health epidemics or outbreaks of communicable diseases. For example, in December 2019, a novel strain of coronavirus, SARS-CoV-2, causing a disease referred to as COVID-19, emerged in China. Since then, COVID-19 has spread to multiple countries worldwide, including the United States and member states of the European Union. On March 11, 2020, the World Health Organization declared the outbreak of COVID-19 as a pandemic. The outbreak of such communicable diseases could result in a widespread health crisis that could adversely affect general commercial activity and the economies and financial markets of many countries, which in the case of COVID-19 has occurred. The COVID-19 pandemic has resulted in governments implementing numerous containment measures, such as travel bans and restrictions, particularly quarantines, shelter-in-place or total lock-down orders and business limitations and shutdowns. For example, our primary operations are located in San Diego, California, and San Diego County and the State of California had issued shelter-in-place orders in response to the COVID-19 pandemic. Although some restrictions aimed at minimizing the spread of COVID-19 have been and may from time to time be eased or lifted in the U.S. and other countries, in response to local surges and new waves of infection, including those caused by the spread of the Delta, Omicron and other variants, some countries, states, and local governments have maintained or reinstituted these restrictions, or may reinstitute these restrictions from time to time, in response to rising rates of infection.</w:t>
      </w:r>
    </w:p>
    <w:p>
      <w:pPr>
        <w:spacing w:after="0" w:line="202"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We are following, and plan to continue to follow, recommendations from federal, state and local governments regarding workplace policies, practices and procedures. In March 2020, we implemented a remote working policy for many of our employees and began restricting non-essential travel. During 2022 we modified our hybrid work policy to allow for flexibility based on department needs and travel requirements. We are complying with all applicable guidelines for our clinical trials, including remote clinical monitoring. We are continuing to monitor the potential impact of the pandemic, but we cannot be certain what the overall impact will be on our business, financial condition, results of operations and prospects.</w:t>
      </w:r>
    </w:p>
    <w:p>
      <w:pPr>
        <w:spacing w:after="0" w:line="18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addition, the COVID-19 pandemic is having a severe effect on the clinical trials of many drug candidates of several sponsors. Some trials have been merely delayed, while others have been cancelled. The extent to which the COVID-19 pandemic may impact our preclinical and clinical trial operations will depend on future developments, which are highly uncertain and cannot be predicted with confidence, such as the duration and geographic reach of the outbreak, the severity of COVID-19 (including its variant strains, such as the highly transmissible Delta and Omicron variants), the effectiveness of actions to contain and treat COVID-19 and the rate of vaccination and efficacy of approved vaccines against COVID-19 and its variant strains. To date, we have experienced modest business disruptions, including with respect to the clinical trials we are conducting, and non-material impairments as a result of the pandemic. The continued spread of COVID-19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the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we may not be able to capitalize on the market potential of our patented technology platform and resulting product candidates.</w:t>
      </w:r>
    </w:p>
    <w:p>
      <w:pPr>
        <w:spacing w:after="0" w:line="12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certain of our product candidates. In addition, we may in the future seek third-party collaborators or joint venture partners for development and commercialization of additional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existing collaboration arrangements currently pose, and future collaborations involving our product candidates will pose, the following risks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84" w:lineRule="exact"/>
        <w:rPr>
          <w:sz w:val="20"/>
          <w:szCs w:val="20"/>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00" w:right="140" w:hanging="368"/>
        <w:spacing w:after="0" w:line="250"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69" w:lineRule="exact"/>
        <w:rPr>
          <w:rFonts w:ascii="Times New Roman" w:cs="Times New Roman" w:eastAsia="Times New Roman" w:hAnsi="Times New Roman"/>
          <w:sz w:val="18"/>
          <w:szCs w:val="18"/>
          <w:color w:val="auto"/>
        </w:rPr>
      </w:pPr>
    </w:p>
    <w:p>
      <w:pPr>
        <w:ind w:left="1000" w:right="460" w:hanging="36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00" w:right="60" w:hanging="368"/>
        <w:spacing w:after="0" w:line="250"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82" w:lineRule="exact"/>
        <w:rPr>
          <w:rFonts w:ascii="Times New Roman" w:cs="Times New Roman" w:eastAsia="Times New Roman" w:hAnsi="Times New Roman"/>
          <w:sz w:val="18"/>
          <w:szCs w:val="18"/>
          <w:color w:val="auto"/>
        </w:rPr>
      </w:pPr>
    </w:p>
    <w:p>
      <w:pPr>
        <w:ind w:left="1000" w:right="540" w:hanging="36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000" w:hanging="368"/>
        <w:spacing w:after="0" w:line="250"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8"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00" w:right="60" w:hanging="36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jc w:val="both"/>
        <w:ind w:left="1020" w:right="360" w:hanging="383"/>
        <w:spacing w:after="0" w:line="250"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82" w:lineRule="exact"/>
        <w:rPr>
          <w:rFonts w:ascii="Times New Roman" w:cs="Times New Roman" w:eastAsia="Times New Roman" w:hAnsi="Times New Roman"/>
          <w:sz w:val="18"/>
          <w:szCs w:val="18"/>
          <w:color w:val="auto"/>
        </w:rPr>
      </w:pPr>
    </w:p>
    <w:p>
      <w:pPr>
        <w:ind w:left="1020" w:right="680" w:hanging="38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54" w:lineRule="exact"/>
        <w:rPr>
          <w:rFonts w:ascii="Times New Roman" w:cs="Times New Roman" w:eastAsia="Times New Roman" w:hAnsi="Times New Roman"/>
          <w:sz w:val="18"/>
          <w:szCs w:val="18"/>
          <w:color w:val="auto"/>
        </w:rPr>
      </w:pPr>
    </w:p>
    <w:p>
      <w:pPr>
        <w:ind w:left="1000" w:right="16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sales and marketing activities or other operations may not be in compliance with applicable laws resulting in civil or criminal proceedings.</w:t>
      </w:r>
    </w:p>
    <w:p>
      <w:pPr>
        <w:spacing w:after="0" w:line="148"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51" w:name="page52"/>
    <w:bookmarkEnd w:id="51"/>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6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8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8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37"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80"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2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0" w:lineRule="exact"/>
        <w:rPr>
          <w:sz w:val="20"/>
          <w:szCs w:val="20"/>
          <w:color w:val="auto"/>
        </w:rPr>
      </w:pPr>
    </w:p>
    <w:p>
      <w:pPr>
        <w:ind w:right="200" w:firstLine="509"/>
        <w:spacing w:after="0" w:line="244" w:lineRule="auto"/>
        <w:rPr>
          <w:sz w:val="20"/>
          <w:szCs w:val="20"/>
          <w:color w:val="auto"/>
        </w:rPr>
      </w:pPr>
      <w:r>
        <w:rPr>
          <w:rFonts w:ascii="Times New Roman" w:cs="Times New Roman" w:eastAsia="Times New Roman" w:hAnsi="Times New Roman"/>
          <w:sz w:val="18"/>
          <w:szCs w:val="18"/>
          <w:color w:val="auto"/>
        </w:rPr>
        <w:t>We rely, and expect we will continue to rely, on third-party investigators, CROs, data management organizations and consultants to conduct, supervise and monitor our ongoing clinical trials and preclinical studies. We currently rely on third parties to manage and conduct our clinical trials of mecbotamab vedotin and ozuriftamab vedotin.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7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30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52" w:name="page53"/>
    <w:bookmarkEnd w:id="5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the risk that we will not have sufficient quantities of our product candidates or products, if approved, or such quantities at an acceptable cost, which could delay, prevent or impair our development or commercialization efforts.</w:t>
      </w:r>
    </w:p>
    <w:p>
      <w:pPr>
        <w:spacing w:after="0" w:line="3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89"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8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69" w:lineRule="exact"/>
        <w:rPr>
          <w:sz w:val="20"/>
          <w:szCs w:val="20"/>
          <w:color w:val="auto"/>
        </w:rPr>
      </w:pPr>
    </w:p>
    <w:p>
      <w:pPr>
        <w:ind w:left="1000" w:hanging="36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1"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1000" w:right="660" w:hanging="36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not being properly identified;</w:t>
      </w:r>
    </w:p>
    <w:p>
      <w:pPr>
        <w:spacing w:after="0" w:line="54" w:lineRule="exact"/>
        <w:rPr>
          <w:rFonts w:ascii="Times New Roman" w:cs="Times New Roman" w:eastAsia="Times New Roman" w:hAnsi="Times New Roman"/>
          <w:sz w:val="18"/>
          <w:szCs w:val="18"/>
          <w:color w:val="auto"/>
        </w:rPr>
      </w:pPr>
    </w:p>
    <w:p>
      <w:pPr>
        <w:ind w:left="1020" w:right="60" w:hanging="38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40"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1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53" w:name="page54"/>
    <w:bookmarkEnd w:id="53"/>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8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8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which are stored in a cell bank. We have one master cell bank for each antibody manufactured in accordance with cGMPs, which is stored in multiple locations. We are currently creating multiple working cell banks.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9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the severity and duration of the spread of the virus, and the actions undertaken to contain COVID-19 or treat its effects.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85" w:lineRule="exact"/>
        <w:rPr>
          <w:sz w:val="20"/>
          <w:szCs w:val="20"/>
          <w:color w:val="auto"/>
        </w:rPr>
      </w:pPr>
    </w:p>
    <w:p>
      <w:pPr>
        <w:ind w:right="300" w:firstLine="509"/>
        <w:spacing w:after="0" w:line="253" w:lineRule="auto"/>
        <w:rPr>
          <w:sz w:val="20"/>
          <w:szCs w:val="20"/>
          <w:color w:val="auto"/>
        </w:rPr>
      </w:pPr>
      <w:r>
        <w:rPr>
          <w:rFonts w:ascii="Times New Roman" w:cs="Times New Roman" w:eastAsia="Times New Roman" w:hAnsi="Times New Roman"/>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w:t>
      </w: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54" w:name="page55"/>
    <w:bookmarkEnd w:id="54"/>
    <w:p>
      <w:pPr>
        <w:ind w:right="20"/>
        <w:spacing w:after="0" w:line="250" w:lineRule="auto"/>
        <w:rPr>
          <w:sz w:val="20"/>
          <w:szCs w:val="20"/>
          <w:color w:val="auto"/>
        </w:rPr>
      </w:pPr>
      <w:r>
        <w:rPr>
          <w:rFonts w:ascii="Times New Roman" w:cs="Times New Roman" w:eastAsia="Times New Roman" w:hAnsi="Times New Roman"/>
          <w:sz w:val="18"/>
          <w:szCs w:val="18"/>
          <w:color w:val="auto"/>
        </w:rPr>
        <w:t>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8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Once granted, patents may remain open to opposition, interference,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As of November 2021, there is an ongoing patent opposition proceeding regarding our patent EP2 406 399 at the European Patent Office which is related to a version of methods used for evolving and screening potential product candidates. The Opposition Division revoked EP2 406 399 in its decision dated March 10, 2020 and we filed an appeal on July 20, 2020. In addition, we cannot assure you that:</w:t>
      </w:r>
    </w:p>
    <w:p>
      <w:pPr>
        <w:spacing w:after="0" w:line="87" w:lineRule="exact"/>
        <w:rPr>
          <w:sz w:val="20"/>
          <w:szCs w:val="20"/>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maintain, protect and enforce intellectual property protection for our technologies and product candidates.</w:t>
      </w:r>
    </w:p>
    <w:p>
      <w:pPr>
        <w:spacing w:after="0" w:line="103" w:lineRule="exact"/>
        <w:rPr>
          <w:rFonts w:ascii="Times New Roman" w:cs="Times New Roman" w:eastAsia="Times New Roman" w:hAnsi="Times New Roman"/>
          <w:sz w:val="18"/>
          <w:szCs w:val="18"/>
          <w:color w:val="auto"/>
        </w:rPr>
      </w:pPr>
    </w:p>
    <w:p>
      <w:pPr>
        <w:ind w:left="1000" w:right="240" w:hanging="36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7" w:lineRule="exact"/>
        <w:rPr>
          <w:rFonts w:ascii="Times New Roman" w:cs="Times New Roman" w:eastAsia="Times New Roman" w:hAnsi="Times New Roman"/>
          <w:sz w:val="18"/>
          <w:szCs w:val="18"/>
          <w:color w:val="auto"/>
        </w:rPr>
      </w:pPr>
    </w:p>
    <w:p>
      <w:pPr>
        <w:ind w:left="1000" w:right="440" w:hanging="36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make the inventions covered by each of our issued patents and pending patent applications that we own or license.</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file patent applications covering certain aspects of our inventions.</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that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 or will not be challenged by third parties.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or in-license additional proprietary technologies that are patentable.</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may license will lead to issued patents.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03" w:lineRule="exact"/>
        <w:rPr>
          <w:rFonts w:ascii="Times New Roman" w:cs="Times New Roman" w:eastAsia="Times New Roman" w:hAnsi="Times New Roman"/>
          <w:sz w:val="18"/>
          <w:szCs w:val="18"/>
          <w:color w:val="auto"/>
        </w:rPr>
      </w:pPr>
    </w:p>
    <w:p>
      <w:pPr>
        <w:ind w:left="1000" w:right="20" w:hanging="36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6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8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9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protect our competitive position on our product candidates for an adequate amount of time.</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2037, subject to any additional patent extensions that may be available for such patents. If patents are issued on our pending patent applications, the resulting patents are projected to expire on dates ranging from 2030 to 2043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56" w:name="page57"/>
    <w:bookmarkEnd w:id="56"/>
    <w:p>
      <w:pPr>
        <w:ind w:right="60"/>
        <w:spacing w:after="0" w:line="250" w:lineRule="auto"/>
        <w:rPr>
          <w:sz w:val="20"/>
          <w:szCs w:val="20"/>
          <w:color w:val="auto"/>
        </w:rPr>
      </w:pPr>
      <w:r>
        <w:rPr>
          <w:rFonts w:ascii="Times New Roman" w:cs="Times New Roman" w:eastAsia="Times New Roman" w:hAnsi="Times New Roman"/>
          <w:sz w:val="18"/>
          <w:szCs w:val="18"/>
          <w:color w:val="auto"/>
        </w:rPr>
        <w:t>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88"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9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304"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sometimes narrowing the scope of patent protection available in certain circumstances, weakening the rights of patent owners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7" w:name="page58"/>
    <w:bookmarkEnd w:id="57"/>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3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95"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8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60"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212"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8" w:name="page59"/>
    <w:bookmarkEnd w:id="58"/>
    <w:p>
      <w:pPr>
        <w:ind w:right="20"/>
        <w:spacing w:after="0" w:line="242" w:lineRule="auto"/>
        <w:rPr>
          <w:sz w:val="20"/>
          <w:szCs w:val="20"/>
          <w:color w:val="auto"/>
        </w:rPr>
      </w:pPr>
      <w:r>
        <w:rPr>
          <w:rFonts w:ascii="Times New Roman" w:cs="Times New Roman" w:eastAsia="Times New Roman" w:hAnsi="Times New Roman"/>
          <w:sz w:val="18"/>
          <w:szCs w:val="18"/>
          <w:color w:val="auto"/>
        </w:rPr>
        <w:t>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30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9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w:t>
      </w: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9" w:name="page60"/>
    <w:bookmarkEnd w:id="59"/>
    <w:p>
      <w:pPr>
        <w:spacing w:after="0" w:line="242" w:lineRule="auto"/>
        <w:rPr>
          <w:sz w:val="20"/>
          <w:szCs w:val="20"/>
          <w:color w:val="auto"/>
        </w:rPr>
      </w:pPr>
      <w:r>
        <w:rPr>
          <w:rFonts w:ascii="Times New Roman" w:cs="Times New Roman" w:eastAsia="Times New Roman" w:hAnsi="Times New Roman"/>
          <w:sz w:val="18"/>
          <w:szCs w:val="18"/>
          <w:color w:val="auto"/>
        </w:rPr>
        <w:t>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202"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8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92"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0" w:name="page61"/>
    <w:bookmarkEnd w:id="60"/>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1"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99"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27"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ind w:right="340"/>
        <w:spacing w:after="0" w:line="270" w:lineRule="auto"/>
        <w:rPr>
          <w:sz w:val="20"/>
          <w:szCs w:val="20"/>
          <w:color w:val="auto"/>
        </w:rPr>
      </w:pPr>
      <w:r>
        <w:rPr>
          <w:rFonts w:ascii="Times New Roman" w:cs="Times New Roman" w:eastAsia="Times New Roman" w:hAnsi="Times New Roman"/>
          <w:sz w:val="17"/>
          <w:szCs w:val="17"/>
          <w:color w:val="auto"/>
        </w:rPr>
        <w:t>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77"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28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0"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8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37" w:lineRule="exact"/>
        <w:rPr>
          <w:sz w:val="20"/>
          <w:szCs w:val="20"/>
          <w:color w:val="auto"/>
        </w:rPr>
      </w:pPr>
    </w:p>
    <w:p>
      <w:pPr>
        <w:ind w:right="560" w:firstLine="509"/>
        <w:spacing w:after="0" w:line="253" w:lineRule="auto"/>
        <w:rPr>
          <w:sz w:val="20"/>
          <w:szCs w:val="20"/>
          <w:color w:val="auto"/>
        </w:rPr>
      </w:pPr>
      <w:r>
        <w:rPr>
          <w:rFonts w:ascii="Times New Roman" w:cs="Times New Roman" w:eastAsia="Times New Roman" w:hAnsi="Times New Roman"/>
          <w:sz w:val="18"/>
          <w:szCs w:val="18"/>
          <w:color w:val="auto"/>
        </w:rPr>
        <w:t>We expect our operating results to be subject to annual and quarterly fluctuations. Our net loss and other operating results will be affected by numerous factors, including:</w:t>
      </w: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and any potential additional collaborations, licensing or similar arrangements;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03" w:lineRule="exact"/>
        <w:rPr>
          <w:rFonts w:ascii="Times New Roman" w:cs="Times New Roman" w:eastAsia="Times New Roman" w:hAnsi="Times New Roman"/>
          <w:sz w:val="18"/>
          <w:szCs w:val="18"/>
          <w:color w:val="auto"/>
        </w:rPr>
      </w:pPr>
    </w:p>
    <w:p>
      <w:pPr>
        <w:ind w:left="1000" w:right="240" w:hanging="36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00" w:hanging="36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common stock could decline substantially.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fluctuations in our operating results may, in turn, cause the price of our stock to fluctuate substantially.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54" w:lineRule="exact"/>
        <w:rPr>
          <w:sz w:val="20"/>
          <w:szCs w:val="20"/>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our clinical trials or those of our competitors;</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right="500" w:hanging="36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current or future collaborators or our competitors, and the timing of these introductions or announcements;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or the restructuring or termination of current collaboration agreements;</w:t>
      </w:r>
    </w:p>
    <w:p>
      <w:pPr>
        <w:spacing w:after="0" w:line="117" w:lineRule="exact"/>
        <w:rPr>
          <w:rFonts w:ascii="Times New Roman" w:cs="Times New Roman" w:eastAsia="Times New Roman" w:hAnsi="Times New Roman"/>
          <w:sz w:val="18"/>
          <w:szCs w:val="18"/>
          <w:color w:val="auto"/>
        </w:rPr>
      </w:pPr>
    </w:p>
    <w:p>
      <w:pPr>
        <w:ind w:left="1000" w:right="500" w:hanging="36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preclinical studies, clinical trials, manufacturing process or sales and marketing terms;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those regarding manufacturing, supply and commercialization of our products;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180" w:hanging="36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4"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w:t>
      </w:r>
    </w:p>
    <w:p>
      <w:pPr>
        <w:spacing w:after="0" w:line="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comparable companies or our industry generally;</w:t>
      </w: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3" w:name="page64"/>
    <w:bookmarkEnd w:id="63"/>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COVID-19 pandemic;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12" w:lineRule="exact"/>
        <w:rPr>
          <w:sz w:val="20"/>
          <w:szCs w:val="20"/>
          <w:color w:val="auto"/>
        </w:rPr>
      </w:pPr>
    </w:p>
    <w:p>
      <w:pPr>
        <w:jc w:val="both"/>
        <w:ind w:right="5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08"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99"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option of the holder of shares of our Class B common stock to convert into shares of our common stock may limit your ability to influence corporate matters.</w:t>
      </w:r>
    </w:p>
    <w:p>
      <w:pPr>
        <w:spacing w:after="0" w:line="5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common stock has one vote per share, while our Class B common stock is non-voting. Nonetheless, each share of our Class B common stock may be converted at any time into one share of common stock at the option of its holder, subject to the limitations provided for in our amended and restated certificate of incorporation. Consequently, if holders of Class B common stock exercise their option to make this conversion, this will have the effect of increasing the relative voting power of those prior holders of our Class B common stock, and correspondingly decrease the voting power of the current holders of our common stock, which may limit your ability to influence corporate matters. Because our Class B common stock is generally non-voting, stockholders who own more than 10% of our Class B common stock and common stock overall but 10% or less of our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 In addition, acquisitions of Class B common stock would not be subject to notification pursuant to the Hart-Scott-Rodino Antitrust Improvements Act of 1976, as amended.</w:t>
      </w:r>
    </w:p>
    <w:p>
      <w:pPr>
        <w:spacing w:after="0" w:line="29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3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publish reports on us regularly, we could lose visibility in the financial markets, which in turn could cause our stock price or trading volume to decline.</w:t>
      </w:r>
    </w:p>
    <w:p>
      <w:pPr>
        <w:spacing w:after="0" w:line="32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50"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executive officers and directors, together with holders of 5% or more of our outstanding common stock and their respective affiliates, beneficially own approximately 42.7% of our outstanding common stock. More specifically, Jay M. Short, Ph.D, our Chairman and Chief Executive Officer, together with his spouse, Carolyn Anderson Short, our former Chief of Intellectual Property and Strategy and Assistant Secretary, own 8.0%, of our outstanding common stock, as of June 30, 2022.</w:t>
      </w:r>
    </w:p>
    <w:p>
      <w:pPr>
        <w:spacing w:after="0" w:line="19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0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wife, Carolyn Anderson Short, are each a manager of Inversagen, LLC and BioAtla Holdings, LLC and a director of Himalaya Therapeutics SEZC. In addition, Ms. Anderson Short is also an officer of Himalaya Therapeutics SEZC. These related party transactions, and any future related party transactions, create the possibility of actual conflicts of interest with regard to Dr. Short.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90"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9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Certain holders of our outstanding shares have rights, subject to certain conditions, to require us to file registration statements covering the sale of their shares or to include their shares in registration statements that we may file for ourselves or our other stockholders. We also registered the offer and sale of all shares of common stock that we may issue under our equity compensation plans, which shares will be able to be sold in the public market upon issuance, subject to applicable securities laws and the lock-up agreements.</w:t>
      </w:r>
    </w:p>
    <w:p>
      <w:pPr>
        <w:spacing w:after="0" w:line="281"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3"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3" w:lineRule="exact"/>
        <w:rPr>
          <w:sz w:val="20"/>
          <w:szCs w:val="20"/>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w:t>
      </w:r>
    </w:p>
    <w:p>
      <w:pPr>
        <w:spacing w:after="0" w:line="16" w:lineRule="exact"/>
        <w:rPr>
          <w:sz w:val="20"/>
          <w:szCs w:val="20"/>
          <w:color w:val="auto"/>
        </w:rPr>
      </w:pPr>
    </w:p>
    <w:p>
      <w:pPr>
        <w:ind w:left="5540" w:right="2160" w:hanging="4527"/>
        <w:spacing w:after="0" w:line="243" w:lineRule="auto"/>
        <w:rPr>
          <w:sz w:val="20"/>
          <w:szCs w:val="20"/>
          <w:color w:val="auto"/>
        </w:rPr>
      </w:pPr>
      <w:r>
        <w:rPr>
          <w:rFonts w:ascii="Times New Roman" w:cs="Times New Roman" w:eastAsia="Times New Roman" w:hAnsi="Times New Roman"/>
          <w:sz w:val="18"/>
          <w:szCs w:val="18"/>
          <w:color w:val="auto"/>
        </w:rPr>
        <w:t>our board of directors pursuant to a resolution adopted by a majority of the total number of authorized directors;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0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12"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attract and retain qualified members of our board of directors may be impacted due to new state laws, including recently enacted gender quotas.</w:t>
      </w:r>
    </w:p>
    <w:p>
      <w:pPr>
        <w:spacing w:after="0" w:line="37"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6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to that initial 2021 requirement, the law mandates that the number of directors from underrepresented communities be increased by the end of calendar year 2022, depending on the size of the board.</w:t>
      </w:r>
    </w:p>
    <w:p>
      <w:pPr>
        <w:spacing w:after="0" w:line="4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Each of these measures has been challenged in court, and although judges of the California Superior Court ruled that AB 979 and SB 826 violate the California constitution in April 2022 and May 2022, respectively, the State of California may appeal such rulings, and the ultimate enforceability of these or similar laws remains uncertain. For example, in May 2022 the California Secretary of State indicated that she has directed counsel to file an appeal of the verdict with respect to SB 826.</w:t>
      </w:r>
    </w:p>
    <w:p>
      <w:pPr>
        <w:spacing w:after="0" w:line="272"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addition, the SEC recently approved new listing rules from Nasdaq related to board diversity and disclosure, which require all companies listed on Nasdaq's U.S. exchanges to publicly disclose consistent, transparent diversity statistics regarding their board of directors. Additionally, the rules would require most Nasdaq-listed companies to have, or explain why they do not have, at least two diverse directors, including one who self-identifies as female and one who self-identifies as either an underrepresented minority or LGBTQ+.</w:t>
      </w:r>
    </w:p>
    <w:p>
      <w:pPr>
        <w:spacing w:after="0" w:line="83" w:lineRule="exact"/>
        <w:rPr>
          <w:sz w:val="20"/>
          <w:szCs w:val="20"/>
          <w:color w:val="auto"/>
        </w:rPr>
      </w:pPr>
    </w:p>
    <w:p>
      <w:pPr>
        <w:ind w:right="380" w:firstLine="509"/>
        <w:spacing w:after="0" w:line="250" w:lineRule="auto"/>
        <w:rPr>
          <w:sz w:val="20"/>
          <w:szCs w:val="20"/>
          <w:color w:val="auto"/>
        </w:rPr>
      </w:pPr>
      <w:r>
        <w:rPr>
          <w:rFonts w:ascii="Times New Roman" w:cs="Times New Roman" w:eastAsia="Times New Roman" w:hAnsi="Times New Roman"/>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w:t>
      </w:r>
    </w:p>
    <w:p>
      <w:pPr>
        <w:spacing w:after="0" w:line="28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6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As a public company, and particularly after we were no longer an emerging growth company or a smaller reporting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more time-consuming and costly. For example, compared to our prior private company status, these rules and regulations make it more difficult and more expensive for us to obtain director and officer liability insurance, and required us to accept reduced policy limits and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6" w:name="page67"/>
    <w:bookmarkEnd w:id="66"/>
    <w:p>
      <w:pPr>
        <w:ind w:right="140"/>
        <w:spacing w:after="0" w:line="250" w:lineRule="auto"/>
        <w:rPr>
          <w:sz w:val="20"/>
          <w:szCs w:val="20"/>
          <w:color w:val="auto"/>
        </w:rPr>
      </w:pPr>
      <w:r>
        <w:rPr>
          <w:rFonts w:ascii="Times New Roman" w:cs="Times New Roman" w:eastAsia="Times New Roman" w:hAnsi="Times New Roman"/>
          <w:sz w:val="18"/>
          <w:szCs w:val="18"/>
          <w:color w:val="auto"/>
        </w:rPr>
        <w:t>coverage or to incur substantial costs to maintain the same or similar coverage.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we are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 Beginning January 1, 2023, we will be a smaller reporting company and therefore, will no longer be required to include an attestation report on internal control over financial reporting by our independent registered public accounting firm for as long as we remain a smaller reporting company.</w:t>
      </w:r>
    </w:p>
    <w:p>
      <w:pPr>
        <w:spacing w:after="0" w:line="18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77"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5"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1" w:lineRule="exact"/>
        <w:rPr>
          <w:sz w:val="20"/>
          <w:szCs w:val="20"/>
          <w:color w:val="auto"/>
        </w:rPr>
      </w:pPr>
    </w:p>
    <w:p>
      <w:pPr>
        <w:ind w:right="7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6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121"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litigation, securities litigation brought against us could result in substantial costs and divert our management’s attention from other business concerns.</w:t>
      </w:r>
    </w:p>
    <w:p>
      <w:pPr>
        <w:spacing w:after="0" w:line="3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On December 15, 2020, the SEC declared effective our registration statement on Form S-1 (File No. 333-250093), as amended, filed in connection with our IPO. At the closing of the offering on December 18, 2020, we issued and sold 12,075,000 shares of our common stock at the initial public offering price to the public of $18.00 per share, which included the exercise in full of the underwriters’ option to purchase additional shares. We received gross proceeds from the IPO of $217.4 million, before deducting underwriting discounts and commissions of approximately $15.2 million and estimated offering costs of approximately $3.8 million.</w:t>
      </w:r>
    </w:p>
    <w:p>
      <w:pPr>
        <w:spacing w:after="0" w:line="18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2022, we have used approximately $67.0 million of the proceeds from our IPO. There has been no material change in the planned use of such proceeds from that described in the final prospectus filed by us with the SEC on December 17,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720" w:type="dxa"/>
            <w:vAlign w:val="bottom"/>
            <w:gridSpan w:val="10"/>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12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File/Furnished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720" w:type="dxa"/>
            <w:vAlign w:val="bottom"/>
            <w:tcBorders>
              <w:bottom w:val="single" w:sz="8" w:color="auto"/>
            </w:tcBorders>
            <w:gridSpan w:val="10"/>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China Clinical Trial Services Agreement, dated</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April 8, 2022, by and between BioAtla, Inc. and</w:t>
            </w: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Himalaya Therapeutics Limited Company.</w:t>
            </w:r>
          </w:p>
        </w:tc>
        <w:tc>
          <w:tcPr>
            <w:tcW w:w="20" w:type="dxa"/>
            <w:vAlign w:val="bottom"/>
            <w:tcBorders>
              <w:bottom w:val="single" w:sz="8" w:color="0000EE"/>
            </w:tcBorders>
          </w:tcPr>
          <w:p>
            <w:pPr>
              <w:spacing w:after="0"/>
              <w:rPr>
                <w:sz w:val="14"/>
                <w:szCs w:val="14"/>
                <w:color w:val="auto"/>
              </w:rPr>
            </w:pPr>
          </w:p>
        </w:tc>
        <w:tc>
          <w:tcPr>
            <w:tcW w:w="4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3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Certification of Chief Executive Officer Pursuant to</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8"/>
              </w:rPr>
              <w:t>Rules 13a-14(a) and 15d-14(a) as Adopted Pursuant</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3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8"/>
              </w:rPr>
              <w:t>Rules 13a-14(a) and 15d-14(a) as Adopted Pursuant</w:t>
            </w: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80" w:type="dxa"/>
            <w:vAlign w:val="bottom"/>
            <w:tcBorders>
              <w:top w:val="single" w:sz="8" w:color="0000FF"/>
            </w:tcBorders>
            <w:gridSpan w:val="2"/>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37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and Chief</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6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Financial Officer Pursuant to 18 U.S.C. Section</w:t>
            </w:r>
          </w:p>
        </w:tc>
        <w:tc>
          <w:tcPr>
            <w:tcW w:w="6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6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1350, as Adopted Pursuant to Section 906 of the</w:t>
            </w:r>
          </w:p>
        </w:tc>
        <w:tc>
          <w:tcPr>
            <w:tcW w:w="60" w:type="dxa"/>
            <w:vAlign w:val="bottom"/>
            <w:gridSpan w:val="2"/>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0" w:type="dxa"/>
            <w:vAlign w:val="bottom"/>
            <w:gridSpan w:val="3"/>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6"/>
                <w:szCs w:val="16"/>
                <w:color w:val="auto"/>
              </w:rPr>
            </w:pPr>
          </w:p>
        </w:tc>
        <w:tc>
          <w:tcPr>
            <w:tcW w:w="372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File because XBRL tags are embedded within the</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The following materials from BioAtla’s Quarterly</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w w:val="97"/>
              </w:rPr>
              <w:t>Report on Form 10-Q for the quarter ended June 30,</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2022, formatted in iXBRL (inline eXtensible</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Business Reporting Language): (i) the Condensed</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Consolidated Balance Sheets, (ii) the Condensed</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and</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Comprehensive Loss, (iii) the Condensed</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(iv) the Condensed Consolidated Statements of</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Cash Flows, and (v) Notes to Condensed</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Consolidated Financial Statements, tagged as</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blocks of text and including detailed tags</w:t>
            </w: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2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Inline XBRL document and contained in exhibit</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and not filed.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04" w:lineRule="exact"/>
        <w:rPr>
          <w:sz w:val="20"/>
          <w:szCs w:val="20"/>
          <w:color w:val="auto"/>
        </w:rPr>
      </w:pPr>
    </w:p>
    <w:p>
      <w:pPr>
        <w:ind w:left="520" w:right="500" w:hanging="512"/>
        <w:spacing w:after="0" w:line="254" w:lineRule="auto"/>
        <w:tabs>
          <w:tab w:leader="none" w:pos="1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Item 601(b)(10)(iv) of Regulation S-K. Annexes have been omitted pursuant to Item 601(a)(5).</w:t>
      </w: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9" w:name="page70"/>
    <w:bookmarkEnd w:id="6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Company Name</w:t>
      </w:r>
    </w:p>
    <w:p>
      <w:pPr>
        <w:spacing w:after="0" w:line="198" w:lineRule="exact"/>
        <w:rPr>
          <w:sz w:val="20"/>
          <w:szCs w:val="20"/>
          <w:color w:val="auto"/>
        </w:rPr>
      </w:pPr>
    </w:p>
    <w:p>
      <w:pPr>
        <w:ind w:left="20"/>
        <w:spacing w:after="0"/>
        <w:tabs>
          <w:tab w:leader="none" w:pos="5580" w:val="left"/>
          <w:tab w:leader="none" w:pos="78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Jay M. Short, Ph.D.</w:t>
      </w:r>
    </w:p>
    <w:p>
      <w:pPr>
        <w:jc w:val="center"/>
        <w:ind w:left="608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jc w:val="cente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8" w:lineRule="exact"/>
        <w:rPr>
          <w:sz w:val="20"/>
          <w:szCs w:val="20"/>
          <w:color w:val="auto"/>
        </w:rPr>
      </w:pPr>
    </w:p>
    <w:p>
      <w:pPr>
        <w:ind w:left="20"/>
        <w:spacing w:after="0"/>
        <w:tabs>
          <w:tab w:leader="none" w:pos="5580" w:val="left"/>
          <w:tab w:leader="none" w:pos="77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Richard A. Waldron</w:t>
      </w:r>
    </w:p>
    <w:p>
      <w:pPr>
        <w:ind w:left="782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7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0" w:right="779" w:bottom="1440" w:gutter="0" w:footer="0" w:header="0"/>
        </w:sectPr>
      </w:pPr>
    </w:p>
    <w:bookmarkStart w:id="70" w:name="page71"/>
    <w:bookmarkEnd w:id="70"/>
    <w:p>
      <w:pPr>
        <w:jc w:val="center"/>
        <w:ind w:left="380"/>
        <w:spacing w:after="0" w:line="304" w:lineRule="auto"/>
        <w:rPr>
          <w:sz w:val="20"/>
          <w:szCs w:val="20"/>
          <w:color w:val="auto"/>
        </w:rPr>
      </w:pPr>
      <w:r>
        <w:rPr>
          <w:rFonts w:ascii="Arial" w:cs="Arial" w:eastAsia="Arial" w:hAnsi="Arial"/>
          <w:sz w:val="16"/>
          <w:szCs w:val="16"/>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CHINA CLINICAL TRIAL SERVICES AGREEMENT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40"/>
        <w:spacing w:after="0" w:line="288"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China Clinical Trial Services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made as of this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day of April 2022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by and between BioAtla, Inc. (“</w:t>
      </w:r>
      <w:r>
        <w:rPr>
          <w:rFonts w:ascii="Times New Roman" w:cs="Times New Roman" w:eastAsia="Times New Roman" w:hAnsi="Times New Roman"/>
          <w:sz w:val="17"/>
          <w:szCs w:val="17"/>
          <w:b w:val="1"/>
          <w:bCs w:val="1"/>
          <w:color w:val="auto"/>
        </w:rPr>
        <w:t>BioAtla</w:t>
      </w:r>
      <w:r>
        <w:rPr>
          <w:rFonts w:ascii="Times New Roman" w:cs="Times New Roman" w:eastAsia="Times New Roman" w:hAnsi="Times New Roman"/>
          <w:sz w:val="17"/>
          <w:szCs w:val="17"/>
          <w:color w:val="auto"/>
        </w:rPr>
        <w:t>”), a Delaware corporation having a place of business at 11085 Torreyana Road, San Diego, CA 92121 and Himalaya Therapeutics Limited Company, a company organized under the laws of Shanghai, having a registered office 3rd Floor, Building 2, No. 200 Zhangheng Road, China (Shanghai) Pilot Free Trade Zone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BioAtla and Sponsor are each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12" w:lineRule="exact"/>
        <w:rPr>
          <w:sz w:val="20"/>
          <w:szCs w:val="20"/>
          <w:color w:val="auto"/>
        </w:rPr>
      </w:pPr>
    </w:p>
    <w:p>
      <w:pPr>
        <w:ind w:right="120" w:firstLine="749"/>
        <w:spacing w:after="0" w:line="274" w:lineRule="auto"/>
        <w:rPr>
          <w:sz w:val="20"/>
          <w:szCs w:val="20"/>
          <w:color w:val="auto"/>
        </w:rPr>
      </w:pPr>
      <w:r>
        <w:rPr>
          <w:rFonts w:ascii="Times New Roman" w:cs="Times New Roman" w:eastAsia="Times New Roman" w:hAnsi="Times New Roman"/>
          <w:sz w:val="17"/>
          <w:szCs w:val="17"/>
          <w:color w:val="auto"/>
        </w:rPr>
        <w:t>BioAtla and Sponsor are parties to an Exclusive Rights Agreement effective January 1, 2020 (the “</w:t>
      </w:r>
      <w:r>
        <w:rPr>
          <w:rFonts w:ascii="Times New Roman" w:cs="Times New Roman" w:eastAsia="Times New Roman" w:hAnsi="Times New Roman"/>
          <w:sz w:val="17"/>
          <w:szCs w:val="17"/>
          <w:b w:val="1"/>
          <w:bCs w:val="1"/>
          <w:color w:val="auto"/>
        </w:rPr>
        <w:t>Exclusive Rights Agreement</w:t>
      </w:r>
      <w:r>
        <w:rPr>
          <w:rFonts w:ascii="Times New Roman" w:cs="Times New Roman" w:eastAsia="Times New Roman" w:hAnsi="Times New Roman"/>
          <w:sz w:val="17"/>
          <w:szCs w:val="17"/>
          <w:color w:val="auto"/>
        </w:rPr>
        <w:t>”) pursuant to which, among other things, BioAtla has licensed rights to certain of its proprietary pharmaceutical drug portfolio in the People’s Republic of China (the “</w:t>
      </w:r>
      <w:r>
        <w:rPr>
          <w:rFonts w:ascii="Times New Roman" w:cs="Times New Roman" w:eastAsia="Times New Roman" w:hAnsi="Times New Roman"/>
          <w:sz w:val="17"/>
          <w:szCs w:val="17"/>
          <w:b w:val="1"/>
          <w:bCs w:val="1"/>
          <w:color w:val="auto"/>
        </w:rPr>
        <w:t>PRC Territory</w:t>
      </w:r>
      <w:r>
        <w:rPr>
          <w:rFonts w:ascii="Times New Roman" w:cs="Times New Roman" w:eastAsia="Times New Roman" w:hAnsi="Times New Roman"/>
          <w:sz w:val="17"/>
          <w:szCs w:val="17"/>
          <w:color w:val="auto"/>
        </w:rPr>
        <w:t>”), and the Special Administrative Regions of Hong Kong and Macao, and Taiwan (collectively, the “</w:t>
      </w:r>
      <w:r>
        <w:rPr>
          <w:rFonts w:ascii="Times New Roman" w:cs="Times New Roman" w:eastAsia="Times New Roman" w:hAnsi="Times New Roman"/>
          <w:sz w:val="17"/>
          <w:szCs w:val="17"/>
          <w:b w:val="1"/>
          <w:bCs w:val="1"/>
          <w:color w:val="auto"/>
        </w:rPr>
        <w:t>Himalaya Territory</w:t>
      </w:r>
      <w:r>
        <w:rPr>
          <w:rFonts w:ascii="Times New Roman" w:cs="Times New Roman" w:eastAsia="Times New Roman" w:hAnsi="Times New Roman"/>
          <w:sz w:val="17"/>
          <w:szCs w:val="17"/>
          <w:color w:val="auto"/>
        </w:rPr>
        <w:t>”) to Sponsor.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BioAtla is advancing potentially registration-enabling Phase II Clinical Trial studies for ozuriftamab vedotin, which is internally referred to 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BioAtla as BA3021 (“</w:t>
      </w:r>
      <w:r>
        <w:rPr>
          <w:rFonts w:ascii="Times New Roman" w:cs="Times New Roman" w:eastAsia="Times New Roman" w:hAnsi="Times New Roman"/>
          <w:sz w:val="18"/>
          <w:szCs w:val="18"/>
          <w:b w:val="1"/>
          <w:bCs w:val="1"/>
          <w:color w:val="auto"/>
        </w:rPr>
        <w:t>BA3021</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These clinical trial activities include:</w:t>
      </w:r>
    </w:p>
    <w:p>
      <w:pPr>
        <w:spacing w:after="0" w:line="192" w:lineRule="exact"/>
        <w:rPr>
          <w:sz w:val="20"/>
          <w:szCs w:val="20"/>
          <w:color w:val="auto"/>
        </w:rPr>
      </w:pPr>
    </w:p>
    <w:p>
      <w:pPr>
        <w:ind w:left="1500" w:firstLine="754"/>
        <w:spacing w:after="0" w:line="266" w:lineRule="auto"/>
        <w:tabs>
          <w:tab w:leader="none" w:pos="27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BioAtla is currently conducting, independent of Sponsor, clinical trials for the Product in the Hong Kong and Taiwan regions of the Himalaya Territory.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BioAtla wishes to engage Sponsor to assist in conducting clinical trials for the Product in the PRC Territory as more specifically described in this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PRC Clinical Trial Activities</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ind w:left="1500" w:right="160" w:firstLine="754"/>
        <w:spacing w:after="0" w:line="242" w:lineRule="auto"/>
        <w:tabs>
          <w:tab w:leader="none" w:pos="27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conduct the PRC Clinical Trial Activities, BioAtla will need to acquire, directly or indirectly, an investigational new drug authorization in the PRC Territory (together with all supplements, amendments, variations, extensions and renewals thereof that may be filed with respect to the foregoing a “</w:t>
      </w:r>
      <w:r>
        <w:rPr>
          <w:rFonts w:ascii="Times New Roman" w:cs="Times New Roman" w:eastAsia="Times New Roman" w:hAnsi="Times New Roman"/>
          <w:sz w:val="18"/>
          <w:szCs w:val="18"/>
          <w:b w:val="1"/>
          <w:bCs w:val="1"/>
          <w:color w:val="auto"/>
        </w:rPr>
        <w:t>PRC IND</w:t>
      </w:r>
      <w:r>
        <w:rPr>
          <w:rFonts w:ascii="Times New Roman" w:cs="Times New Roman" w:eastAsia="Times New Roman" w:hAnsi="Times New Roman"/>
          <w:sz w:val="18"/>
          <w:szCs w:val="18"/>
          <w:color w:val="auto"/>
        </w:rPr>
        <w:t>”) granted by the National Medical Product Administration of China (formerly known as China Food and Drug Administration) and any successor Regulatory Authority having substantially the same function (the “</w:t>
      </w:r>
      <w:r>
        <w:rPr>
          <w:rFonts w:ascii="Times New Roman" w:cs="Times New Roman" w:eastAsia="Times New Roman" w:hAnsi="Times New Roman"/>
          <w:sz w:val="18"/>
          <w:szCs w:val="18"/>
          <w:b w:val="1"/>
          <w:bCs w:val="1"/>
          <w:color w:val="auto"/>
        </w:rPr>
        <w:t>NMPA</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jc w:val="both"/>
        <w:ind w:left="1500" w:right="440" w:firstLine="754"/>
        <w:spacing w:after="0" w:line="258" w:lineRule="auto"/>
        <w:tabs>
          <w:tab w:leader="none" w:pos="27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Sponsor currently is the holder of a PRC IND for BA3021, BioAtla wishes to engage the services of Sponsor set forth in Annex B attached hereto and made a part hereof, to advance the clinical trial work for the Product set forth.</w:t>
      </w:r>
    </w:p>
    <w:p>
      <w:pPr>
        <w:spacing w:after="0" w:line="15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Pursuant to Section 3.8(a) of the Exclusive Rights Agreement, BioAtla is entitled to engage Sponsor as the sponsor for, and to reasonably assist BioAtla subject to payments provided for in Section 8, PRC Clinical Trial Activities, and hereby elects to do so based upon the terms and conditions set forth in the Agreement.</w:t>
      </w:r>
    </w:p>
    <w:p>
      <w:pPr>
        <w:spacing w:after="0" w:line="1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Terms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premises and of the following mutual promises, covenants and conditions, the Parties, intending to be legally bound, mutually agree as follows: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7" w:right="419" w:bottom="1440" w:gutter="0" w:footer="0" w:header="0"/>
        </w:sectPr>
      </w:pPr>
    </w:p>
    <w:bookmarkStart w:id="71" w:name="page72"/>
    <w:bookmarkEnd w:id="71"/>
    <w:p>
      <w:pPr>
        <w:ind w:left="460" w:right="300" w:hanging="459"/>
        <w:spacing w:after="0" w:line="255" w:lineRule="auto"/>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all purposes of this Agreement, the capitalized terms defined in this Article 1 and throughout this Agreement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herein specified. Any capitalized terms not defined herein shall have the meanings set forth in the Exclusive Rights Agreement.</w:t>
      </w:r>
    </w:p>
    <w:p>
      <w:pPr>
        <w:spacing w:after="0" w:line="73" w:lineRule="exact"/>
        <w:rPr>
          <w:sz w:val="20"/>
          <w:szCs w:val="20"/>
          <w:color w:val="auto"/>
        </w:rPr>
      </w:pPr>
    </w:p>
    <w:p>
      <w:pPr>
        <w:ind w:left="500" w:right="22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means applicable federal, state, local, national and supra-national laws, statutes, rules and regulations of a Regulatory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Authority, including any rules, regulations, guidelines or other requirements of any Regulatory Authority, that may be in effect from time to time during the Term and applicable to a particular activity hereunder, including: export control and economic sanctions regulations which prohibit the shipment of United States origin products and technology to certain restricted countries, entities and individuals; all applicable data protection requirements such as those specified in the EU Data Protection Directive (if applicable) and the regulations issued under the United States Health Insurance Portability and Accountability Act of 1996 (“</w:t>
      </w:r>
      <w:r>
        <w:rPr>
          <w:rFonts w:ascii="Times New Roman" w:cs="Times New Roman" w:eastAsia="Times New Roman" w:hAnsi="Times New Roman"/>
          <w:sz w:val="17"/>
          <w:szCs w:val="17"/>
          <w:b w:val="1"/>
          <w:bCs w:val="1"/>
          <w:color w:val="auto"/>
        </w:rPr>
        <w:t>HIPAA</w:t>
      </w:r>
      <w:r>
        <w:rPr>
          <w:rFonts w:ascii="Times New Roman" w:cs="Times New Roman" w:eastAsia="Times New Roman" w:hAnsi="Times New Roman"/>
          <w:sz w:val="17"/>
          <w:szCs w:val="17"/>
          <w:color w:val="auto"/>
        </w:rPr>
        <w:t>”) and the General Data Protection Regulation (EU) 2016/679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ind w:left="500" w:right="1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the current Good Manufacturing Practices officially published and interpreted by EMA, FDA and other applicable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that may be in effect from time to time and are applicable to the Manufacture of the Product.</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CRO</w:t>
      </w:r>
      <w:r>
        <w:rPr>
          <w:rFonts w:ascii="Times New Roman" w:cs="Times New Roman" w:eastAsia="Times New Roman" w:hAnsi="Times New Roman"/>
          <w:sz w:val="18"/>
          <w:szCs w:val="18"/>
          <w:color w:val="auto"/>
        </w:rPr>
        <w:t>” means contract research organizations designated from time to time as contemplated by this Agreement.</w:t>
      </w:r>
    </w:p>
    <w:p>
      <w:pPr>
        <w:spacing w:after="0" w:line="117" w:lineRule="exact"/>
        <w:rPr>
          <w:sz w:val="20"/>
          <w:szCs w:val="20"/>
          <w:color w:val="auto"/>
        </w:rPr>
      </w:pPr>
    </w:p>
    <w:p>
      <w:pPr>
        <w:jc w:val="both"/>
        <w:ind w:left="500" w:right="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means the Good Clinical Practices officially published by EMA, FDA and the International Conference on Harmonisation of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for Registration of Pharmaceuticals for Human Use (ICH) that may be in effect from time to time and are applicable to the testing of the Product.</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has the meaning set forth in the definition of Applicable Law.</w:t>
      </w:r>
    </w:p>
    <w:p>
      <w:pPr>
        <w:spacing w:after="0" w:line="104" w:lineRule="exact"/>
        <w:rPr>
          <w:sz w:val="20"/>
          <w:szCs w:val="20"/>
          <w:color w:val="auto"/>
        </w:rPr>
      </w:pPr>
    </w:p>
    <w:p>
      <w:pPr>
        <w:ind w:left="500" w:right="1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Non-Conformance</w:t>
      </w:r>
      <w:r>
        <w:rPr>
          <w:rFonts w:ascii="Times New Roman" w:cs="Times New Roman" w:eastAsia="Times New Roman" w:hAnsi="Times New Roman"/>
          <w:sz w:val="18"/>
          <w:szCs w:val="18"/>
          <w:color w:val="auto"/>
        </w:rPr>
        <w:t>” means, with respect to any Product, such Product deviates from (a) the applicable specifications for such Product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Study or (b) any Applicable Law, including cGMP or health, safety or environmental protections.</w:t>
      </w:r>
    </w:p>
    <w:p>
      <w:pPr>
        <w:spacing w:after="0" w:line="46" w:lineRule="exact"/>
        <w:rPr>
          <w:sz w:val="20"/>
          <w:szCs w:val="20"/>
          <w:color w:val="auto"/>
        </w:rPr>
      </w:pPr>
    </w:p>
    <w:p>
      <w:pPr>
        <w:ind w:left="500" w:right="6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sole proprietorship, partnership, corporation, business trust, joint stock company, trust, unincorporated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association, limited liability company, institution, public benefit corporation, joint venture, entity or governmental entity.</w:t>
      </w:r>
    </w:p>
    <w:p>
      <w:pPr>
        <w:spacing w:after="0" w:line="10" w:lineRule="exact"/>
        <w:rPr>
          <w:sz w:val="20"/>
          <w:szCs w:val="20"/>
          <w:color w:val="auto"/>
        </w:rPr>
      </w:pPr>
    </w:p>
    <w:p>
      <w:pPr>
        <w:ind w:left="500" w:right="1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means a pharmacovigilance agreement entered into by the Parties for a particular Study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safety information related to a Product pursuant to this Agreement.</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means a written protocol created for a particular Study as set forth in the Study Plan, that will be used in the Study.</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Protocol Synopsis</w:t>
      </w:r>
      <w:r>
        <w:rPr>
          <w:rFonts w:ascii="Times New Roman" w:cs="Times New Roman" w:eastAsia="Times New Roman" w:hAnsi="Times New Roman"/>
          <w:sz w:val="18"/>
          <w:szCs w:val="18"/>
          <w:color w:val="auto"/>
        </w:rPr>
        <w:t>” means a written summary of the Protocol.</w:t>
      </w:r>
    </w:p>
    <w:p>
      <w:pPr>
        <w:spacing w:after="0" w:line="104" w:lineRule="exact"/>
        <w:rPr>
          <w:sz w:val="20"/>
          <w:szCs w:val="20"/>
          <w:color w:val="auto"/>
        </w:rPr>
      </w:pPr>
    </w:p>
    <w:p>
      <w:pPr>
        <w:ind w:left="500" w:right="3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 federal, national, multinational, state, provincial or local regulatory agency, department, bureau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with authority over the testing, manufacture, use, storage, import, promotion, marketing or sale (including pricing and reimbursement approval) of a Product in a country or territory.</w:t>
      </w:r>
    </w:p>
    <w:p>
      <w:pPr>
        <w:spacing w:after="0" w:line="56" w:lineRule="exact"/>
        <w:rPr>
          <w:sz w:val="20"/>
          <w:szCs w:val="20"/>
          <w:color w:val="auto"/>
        </w:rPr>
      </w:pPr>
    </w:p>
    <w:p>
      <w:pPr>
        <w:ind w:left="50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 Party, its Affiliates or any employees, directors, contractors, agents or consultants of such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w:t>
      </w:r>
    </w:p>
    <w:p>
      <w:pPr>
        <w:spacing w:after="0" w:line="33" w:lineRule="exact"/>
        <w:rPr>
          <w:sz w:val="20"/>
          <w:szCs w:val="20"/>
          <w:color w:val="auto"/>
        </w:rPr>
      </w:pPr>
    </w:p>
    <w:p>
      <w:pPr>
        <w:ind w:left="500" w:right="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w:t>
      </w:r>
      <w:r>
        <w:rPr>
          <w:rFonts w:ascii="Times New Roman" w:cs="Times New Roman" w:eastAsia="Times New Roman" w:hAnsi="Times New Roman"/>
          <w:sz w:val="18"/>
          <w:szCs w:val="18"/>
          <w:color w:val="auto"/>
        </w:rPr>
        <w:t>” means each clinical trial to be conducted under this Agreement pursuant to a Study Plan involving a Product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as specifically described in the applicable Protocol; it being understood and agreed that the first Study is the Global Initial Study defined in Section 1.16 below.</w:t>
      </w:r>
    </w:p>
    <w:p>
      <w:pPr>
        <w:spacing w:after="0" w:line="56" w:lineRule="exact"/>
        <w:rPr>
          <w:sz w:val="20"/>
          <w:szCs w:val="20"/>
          <w:color w:val="auto"/>
        </w:rPr>
      </w:pPr>
    </w:p>
    <w:p>
      <w:pPr>
        <w:ind w:left="50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Data</w:t>
      </w:r>
      <w:r>
        <w:rPr>
          <w:rFonts w:ascii="Times New Roman" w:cs="Times New Roman" w:eastAsia="Times New Roman" w:hAnsi="Times New Roman"/>
          <w:sz w:val="18"/>
          <w:szCs w:val="18"/>
          <w:color w:val="auto"/>
        </w:rPr>
        <w:t>” means, with respect to a particular Study, all data (including raw data) and results (including Study Results) generated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 Study Plan for such Study, including results obtained from testing or analysis of biological samples as part of a Study pursuant to the Protocol pertaining to the Product within the Study Field.</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Field</w:t>
      </w:r>
      <w:r>
        <w:rPr>
          <w:rFonts w:ascii="Times New Roman" w:cs="Times New Roman" w:eastAsia="Times New Roman" w:hAnsi="Times New Roman"/>
          <w:sz w:val="18"/>
          <w:szCs w:val="18"/>
          <w:color w:val="auto"/>
        </w:rPr>
        <w:t>” means, with respect to a particular Study, the specific type(s) of cancer identified in the Study Plan.</w:t>
      </w:r>
    </w:p>
    <w:p>
      <w:pPr>
        <w:spacing w:after="0" w:line="198" w:lineRule="exact"/>
        <w:rPr>
          <w:sz w:val="20"/>
          <w:szCs w:val="20"/>
          <w:color w:val="auto"/>
        </w:rPr>
      </w:pPr>
    </w:p>
    <w:p>
      <w:pPr>
        <w:ind w:left="500"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Plan</w:t>
      </w:r>
      <w:r>
        <w:rPr>
          <w:rFonts w:ascii="Times New Roman" w:cs="Times New Roman" w:eastAsia="Times New Roman" w:hAnsi="Times New Roman"/>
          <w:sz w:val="18"/>
          <w:szCs w:val="18"/>
          <w:color w:val="auto"/>
        </w:rPr>
        <w:t>” means, with respect to a particular Study for a particular cancer and patient population, the plan, including the Protocol,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be amended from time to time pursuant to this Agreement for the clinical evaluation of the Product in such Study. The global initial Study Plan for the first Study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Global Initial Study</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233045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17" w:right="359" w:bottom="1440" w:gutter="0" w:footer="0" w:header="0"/>
        </w:sectPr>
      </w:pPr>
    </w:p>
    <w:bookmarkStart w:id="72" w:name="page73"/>
    <w:bookmarkEnd w:id="72"/>
    <w:p>
      <w:pPr>
        <w:ind w:left="499"/>
        <w:spacing w:after="0"/>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Results</w:t>
      </w:r>
      <w:r>
        <w:rPr>
          <w:rFonts w:ascii="Times New Roman" w:cs="Times New Roman" w:eastAsia="Times New Roman" w:hAnsi="Times New Roman"/>
          <w:sz w:val="18"/>
          <w:szCs w:val="18"/>
          <w:color w:val="auto"/>
        </w:rPr>
        <w:t>” has the meaning set forth in Section 3.7.</w:t>
      </w:r>
    </w:p>
    <w:p>
      <w:pPr>
        <w:spacing w:after="0" w:line="104" w:lineRule="exact"/>
        <w:rPr>
          <w:sz w:val="20"/>
          <w:szCs w:val="20"/>
          <w:color w:val="auto"/>
        </w:rPr>
      </w:pPr>
    </w:p>
    <w:p>
      <w:pPr>
        <w:ind w:left="499"/>
        <w:spacing w:after="0"/>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7.1.</w:t>
      </w:r>
    </w:p>
    <w:p>
      <w:pPr>
        <w:spacing w:after="0" w:line="104" w:lineRule="exact"/>
        <w:rPr>
          <w:sz w:val="20"/>
          <w:szCs w:val="20"/>
          <w:color w:val="auto"/>
        </w:rPr>
      </w:pPr>
    </w:p>
    <w:p>
      <w:pPr>
        <w:ind w:left="499"/>
        <w:spacing w:after="0"/>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Sponsor, BioAtla or their respective Affiliates.</w:t>
      </w:r>
    </w:p>
    <w:p>
      <w:pPr>
        <w:spacing w:after="0" w:line="117" w:lineRule="exact"/>
        <w:rPr>
          <w:sz w:val="20"/>
          <w:szCs w:val="20"/>
          <w:color w:val="auto"/>
        </w:rPr>
      </w:pPr>
    </w:p>
    <w:p>
      <w:pPr>
        <w:jc w:val="both"/>
        <w:ind w:left="499" w:right="48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Violation</w:t>
      </w:r>
      <w:r>
        <w:rPr>
          <w:rFonts w:ascii="Times New Roman" w:cs="Times New Roman" w:eastAsia="Times New Roman" w:hAnsi="Times New Roman"/>
          <w:sz w:val="18"/>
          <w:szCs w:val="18"/>
          <w:color w:val="auto"/>
        </w:rPr>
        <w:t>” means that a Party or any of its officers or directors or any other personnel (or other permitted agents of a Party performing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hereunder) has been: (1) convicted of any of the felonies identified among the exclusion authorities listed on the U.S. Department of Health and Human Services, Office of Inspector General (OIG) website, including 42 U.S.C. 1320a-7(a)</w:t>
      </w:r>
    </w:p>
    <w:p>
      <w:pPr>
        <w:spacing w:after="0" w:line="2" w:lineRule="exact"/>
        <w:rPr>
          <w:sz w:val="20"/>
          <w:szCs w:val="20"/>
          <w:color w:val="auto"/>
        </w:rPr>
      </w:pPr>
    </w:p>
    <w:p>
      <w:pPr>
        <w:ind w:left="499"/>
        <w:spacing w:after="0"/>
        <w:rPr>
          <w:sz w:val="20"/>
          <w:szCs w:val="20"/>
          <w:color w:val="auto"/>
        </w:rPr>
      </w:pPr>
      <w:r>
        <w:rPr>
          <w:rFonts w:ascii="Times New Roman" w:cs="Times New Roman" w:eastAsia="Times New Roman" w:hAnsi="Times New Roman"/>
          <w:sz w:val="18"/>
          <w:szCs w:val="18"/>
          <w:color w:val="auto"/>
        </w:rPr>
        <w:t>(http://oig.hhs.gov/exclusions/authorities.asp); (2) identified in the OIG List of Excluded Individuals/Entities (LEIE) database (http://exclusions.oig.hhs.gov/) or listed as having an active exclusion in the System for Award Management (http://www.sam.gov); (3) listed by any US Federal agency as being suspended, debarred, excluded or otherwise ineligible to participate in Federal procurement or non-procurement programs, including under 21 U.S.C. 335a (http://www.fda.gov/ora/compliance_ref/debar/) (each of (1), (2) and (3) collectively the “</w:t>
      </w: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Lists</w:t>
      </w:r>
      <w:r>
        <w:rPr>
          <w:rFonts w:ascii="Times New Roman" w:cs="Times New Roman" w:eastAsia="Times New Roman" w:hAnsi="Times New Roman"/>
          <w:sz w:val="18"/>
          <w:szCs w:val="18"/>
          <w:color w:val="auto"/>
        </w:rPr>
        <w:t>”); or (4) otherwise ineligible under Applicable Law (including United States law or any foreign equivalent) or any government programs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the Study or any other activities under this Agreement.</w:t>
      </w:r>
    </w:p>
    <w:p>
      <w:pPr>
        <w:spacing w:after="0" w:line="180" w:lineRule="exact"/>
        <w:rPr>
          <w:sz w:val="20"/>
          <w:szCs w:val="20"/>
          <w:color w:val="auto"/>
        </w:rPr>
      </w:pPr>
    </w:p>
    <w:p>
      <w:pPr>
        <w:ind w:left="459" w:hanging="459"/>
        <w:spacing w:after="0"/>
        <w:tabs>
          <w:tab w:leader="none" w:pos="45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STUDY COORDINATION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99"/>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2.1. Global Initial Study. </w:t>
      </w:r>
      <w:r>
        <w:rPr>
          <w:rFonts w:ascii="Times New Roman" w:cs="Times New Roman" w:eastAsia="Times New Roman" w:hAnsi="Times New Roman"/>
          <w:sz w:val="18"/>
          <w:szCs w:val="18"/>
          <w:color w:val="auto"/>
        </w:rPr>
        <w:t>As the sponsor of the Global Initial Study, subject to Applicable Law, BioAtla shall be solely responsible for funding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implementation of the Global Initial Study.. Upon BioAtla’s written request, Himalaya shall assist BioAtla with executing the Global Initial Study in PRC, and shall act as sponsor of the Global Initial Study, with BioAtla assuming all liability related to its execution of the Global Initial Study in PRC. Notwithstanding anything to the contrary, Sponsor shall not undertake any actions with respect to the Global Initial Study without the prior approval of BioAtla; it being understood and agreed that, in the case of any matters required by Applicable Law in the PRC Territory, Sponsor shall only be required to give BioAtla such notice as consistent with Applicable Law in the PRC Territory.</w:t>
      </w:r>
    </w:p>
    <w:p>
      <w:pPr>
        <w:spacing w:after="0" w:line="285" w:lineRule="exact"/>
        <w:rPr>
          <w:sz w:val="20"/>
          <w:szCs w:val="20"/>
          <w:color w:val="auto"/>
        </w:rPr>
      </w:pPr>
    </w:p>
    <w:p>
      <w:pPr>
        <w:ind w:left="459" w:hanging="459"/>
        <w:spacing w:after="0"/>
        <w:tabs>
          <w:tab w:leader="none" w:pos="45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THE STUDIES.</w:t>
      </w:r>
    </w:p>
    <w:p>
      <w:pPr>
        <w:spacing w:after="0" w:line="117" w:lineRule="exact"/>
        <w:rPr>
          <w:sz w:val="20"/>
          <w:szCs w:val="20"/>
          <w:color w:val="auto"/>
        </w:rPr>
      </w:pPr>
    </w:p>
    <w:p>
      <w:pPr>
        <w:ind w:left="499" w:right="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3.1. General; Study Plans. </w:t>
      </w:r>
      <w:r>
        <w:rPr>
          <w:rFonts w:ascii="Times New Roman" w:cs="Times New Roman" w:eastAsia="Times New Roman" w:hAnsi="Times New Roman"/>
          <w:sz w:val="17"/>
          <w:szCs w:val="17"/>
          <w:color w:val="auto"/>
        </w:rPr>
        <w:t>The specific details of each Study shall be subject to the applicable Study Plan, in writing, and attached hereto,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made part hereof as Annex A. Sponsor shall act as the sponsor of the portion of the Global Initial Study in the PRC Territory and shall hold each applicable PRC IND relating to the portion of the Global Initial Study in the PRC Territory; it being understood that (a) BioAtla shall be responsible for designing and executing the Global Initial Study, including the Protocol, to be conducted in the PRC Territory, and for payments to Sponsor (as provided in Section 8 below) and to the CROs engaged to perform the Global Initial Study, and (b) BioAtla shall promptly provide to Sponsor any and all amendments of the Global Initial Study to Sponsor, (c) BioAtla assumes all liability for the execution of the Global Initial Study in PRC, and</w:t>
      </w:r>
    </w:p>
    <w:p>
      <w:pPr>
        <w:ind w:left="499" w:right="80" w:hanging="3"/>
        <w:spacing w:after="0" w:line="243" w:lineRule="auto"/>
        <w:tabs>
          <w:tab w:leader="none" w:pos="7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Himalaya assumes no liability or responsibility related to BioAtla execution of the Global Initial Study in PRC, and BioAtla hereby indemnifies Himalaya from all such liability.</w:t>
      </w:r>
    </w:p>
    <w:p>
      <w:pPr>
        <w:spacing w:after="0" w:line="83" w:lineRule="exact"/>
        <w:rPr>
          <w:sz w:val="20"/>
          <w:szCs w:val="20"/>
          <w:color w:val="auto"/>
        </w:rPr>
      </w:pPr>
    </w:p>
    <w:p>
      <w:pPr>
        <w:ind w:left="499" w:right="2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3.2. Compliance. </w:t>
      </w:r>
      <w:r>
        <w:rPr>
          <w:rFonts w:ascii="Times New Roman" w:cs="Times New Roman" w:eastAsia="Times New Roman" w:hAnsi="Times New Roman"/>
          <w:sz w:val="18"/>
          <w:szCs w:val="18"/>
          <w:color w:val="auto"/>
        </w:rPr>
        <w:t>Solely with respect to patients in the PRC Territory, BioAtla shall ensure that each Study is performed in accordance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including GCP, and shall ensure that its Affiliates and subcontractors performing activities under this Agreement do the same. BioAtla shall ensure timely delivery of all information required for Sponsor to meets its obligations hereunder. Notwithstanding anything to the contrary, Sponsor’s obligations to perform under the Global Initial Study shall be conditioned upon BioAtla’s full and timely provision of the supply of Product as contemplated by the Global Initial Study.</w:t>
      </w:r>
    </w:p>
    <w:p>
      <w:pPr>
        <w:spacing w:after="0" w:line="69" w:lineRule="exact"/>
        <w:rPr>
          <w:sz w:val="20"/>
          <w:szCs w:val="20"/>
          <w:color w:val="auto"/>
        </w:rPr>
      </w:pPr>
    </w:p>
    <w:p>
      <w:pPr>
        <w:ind w:left="499" w:right="16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3.3. No Violation. </w:t>
      </w:r>
      <w:r>
        <w:rPr>
          <w:rFonts w:ascii="Times New Roman" w:cs="Times New Roman" w:eastAsia="Times New Roman" w:hAnsi="Times New Roman"/>
          <w:sz w:val="18"/>
          <w:szCs w:val="18"/>
          <w:color w:val="auto"/>
        </w:rPr>
        <w:t>Neither Party shall knowingly employ or subcontract with any Person that is in Violation. Each Party hereby certifies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employed or otherwise used in any capacity and will not employ or otherwise use in any capacity the services of any Person in Violation in performing its obligations, and that each Party has, as of the Effective Date, screened itself, and its officers and directors, against the Exclusions Lists and that it has informed the other Party whether it or any of its officers or directors is in Violation. Each Party shall notify the other Party in writing immediately if any such Violation comes to its attention with respect to any Person performing activities under this Agreement, and shall, with respect to any such Person in Violation, promptly remove such Person from performing activities or acting in any function or capacity related to any Study or otherwise related to activities under this Agreement.</w:t>
      </w:r>
    </w:p>
    <w:p>
      <w:pPr>
        <w:spacing w:after="0" w:line="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233045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725" w:right="359" w:bottom="1440" w:gutter="0" w:footer="0" w:header="0"/>
        </w:sectPr>
      </w:pPr>
    </w:p>
    <w:bookmarkStart w:id="73" w:name="page74"/>
    <w:bookmarkEnd w:id="73"/>
    <w:p>
      <w:pPr>
        <w:ind w:left="520" w:right="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3.4. Consent. </w:t>
      </w:r>
      <w:r>
        <w:rPr>
          <w:rFonts w:ascii="Times New Roman" w:cs="Times New Roman" w:eastAsia="Times New Roman" w:hAnsi="Times New Roman"/>
          <w:sz w:val="18"/>
          <w:szCs w:val="18"/>
          <w:color w:val="auto"/>
        </w:rPr>
        <w:t>With respect to portion of the Global Initial Study in the PRC Territory, BioAtla shall ensure that all patient authorizations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required under HIPAA, the General Data Protection Regulation (Regulation (EU) 2016/679) (if applicable) or any other similar Applicable Law in connection with each Study are obtained, are valid.</w:t>
      </w:r>
    </w:p>
    <w:p>
      <w:pPr>
        <w:spacing w:after="0" w:line="77" w:lineRule="exact"/>
        <w:rPr>
          <w:sz w:val="20"/>
          <w:szCs w:val="20"/>
          <w:color w:val="auto"/>
        </w:rPr>
      </w:pPr>
    </w:p>
    <w:p>
      <w:pPr>
        <w:ind w:left="520" w:right="4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3.5. Study Data Ownership; License. </w:t>
      </w:r>
      <w:r>
        <w:rPr>
          <w:rFonts w:ascii="Times New Roman" w:cs="Times New Roman" w:eastAsia="Times New Roman" w:hAnsi="Times New Roman"/>
          <w:sz w:val="18"/>
          <w:szCs w:val="18"/>
          <w:color w:val="auto"/>
        </w:rPr>
        <w:t>BioAtla shall own all Data generated under this Agreement as provided in Section 3.9 of the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Agreement. Sponsor shall possess the license rights granted pursuant to Section 4.1 of the Exclusive Rights Agreement.</w:t>
      </w:r>
    </w:p>
    <w:p>
      <w:pPr>
        <w:spacing w:after="0" w:line="154" w:lineRule="exact"/>
        <w:rPr>
          <w:sz w:val="20"/>
          <w:szCs w:val="20"/>
          <w:color w:val="auto"/>
        </w:rPr>
      </w:pPr>
    </w:p>
    <w:p>
      <w:pPr>
        <w:ind w:left="480" w:hanging="459"/>
        <w:spacing w:after="0"/>
        <w:tabs>
          <w:tab w:leader="none" w:pos="4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AND SAFETY.</w:t>
      </w:r>
    </w:p>
    <w:p>
      <w:pPr>
        <w:spacing w:after="0" w:line="117" w:lineRule="exact"/>
        <w:rPr>
          <w:sz w:val="20"/>
          <w:szCs w:val="20"/>
          <w:color w:val="auto"/>
        </w:rPr>
      </w:pPr>
    </w:p>
    <w:p>
      <w:pPr>
        <w:ind w:left="520" w:right="18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4.1. Approvals. </w:t>
      </w:r>
      <w:r>
        <w:rPr>
          <w:rFonts w:ascii="Times New Roman" w:cs="Times New Roman" w:eastAsia="Times New Roman" w:hAnsi="Times New Roman"/>
          <w:sz w:val="17"/>
          <w:szCs w:val="17"/>
          <w:color w:val="auto"/>
        </w:rPr>
        <w:t>With respect to the portion of each Study in the PRC Territory: (a) Sponsor shall ensure that all directions from any Regulatory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Authority or institutional review board or ethics committee (“</w:t>
      </w:r>
      <w:r>
        <w:rPr>
          <w:rFonts w:ascii="Times New Roman" w:cs="Times New Roman" w:eastAsia="Times New Roman" w:hAnsi="Times New Roman"/>
          <w:sz w:val="17"/>
          <w:szCs w:val="17"/>
          <w:b w:val="1"/>
          <w:bCs w:val="1"/>
          <w:color w:val="auto"/>
        </w:rPr>
        <w:t>IRB/EC</w:t>
      </w:r>
      <w:r>
        <w:rPr>
          <w:rFonts w:ascii="Times New Roman" w:cs="Times New Roman" w:eastAsia="Times New Roman" w:hAnsi="Times New Roman"/>
          <w:sz w:val="17"/>
          <w:szCs w:val="17"/>
          <w:color w:val="auto"/>
        </w:rPr>
        <w:t>”) with jurisdiction over a Study are transmitted to BioAtla, or its designees; and (b) Sponsor will further be responsible for filing and updating the PRC IND for each Study with the information provided by BioAtla.</w:t>
      </w:r>
    </w:p>
    <w:p>
      <w:pPr>
        <w:spacing w:after="0" w:line="59" w:lineRule="exact"/>
        <w:rPr>
          <w:sz w:val="20"/>
          <w:szCs w:val="20"/>
          <w:color w:val="auto"/>
        </w:rPr>
      </w:pPr>
    </w:p>
    <w:p>
      <w:pPr>
        <w:ind w:left="520" w:right="4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4.2. Interactions with Regulatory Authorities. </w:t>
      </w:r>
      <w:r>
        <w:rPr>
          <w:rFonts w:ascii="Times New Roman" w:cs="Times New Roman" w:eastAsia="Times New Roman" w:hAnsi="Times New Roman"/>
          <w:sz w:val="18"/>
          <w:szCs w:val="18"/>
          <w:color w:val="auto"/>
        </w:rPr>
        <w:t>Sponsor routinely engages in verbal and written discussions with Regulatory Authorities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PRC on behalf of BioAtla hereunder. BioAtla shall have the right (but not the obligation) to participate in any discussions between Sponsor and any Regulatory Authority regarding matters related specifically to a Product in the Study, and, to the extent reasonably practicable, Sponsor shall provide sufficient advance notice (at least five (5) Business Days, unless a shorter response period is required by the applicable Regulatory Authority, in which case such notice shall be provided to BioAtla as soon as reasonably practicable) to BioAtla of any such discussions. If Sponsor receives any correspondence, comments or other inquiries from a Regulatory Authority that pertain to a Product, Sponsor shall promptly provide such correspondence, comments or inquiries to BioAtla at least five (5) Business Days before any response is due, unless a shorter response period is required by the applicable Regulatory Authority, in which case such correspondence, comments or inquiries shall be provided to BioAtla as soon as reasonably practicable. In no event shall BioAtla’s inability to participate in discussions between Sponsor and any Regulatory Authority regarding matters related specifically to a Product in the Study constitute a breach hereunder. BioAtla understands that Sponsor may have impromptu discussions with Regulatory Authorities on behalf of BioAtla in a manner that preclude notifying BioAtla of such discussions prior to their occurrence, such as when Sponsor receives a call from a Regulatory Authority.</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4.4. Adverse Event Reporting. </w:t>
      </w:r>
      <w:r>
        <w:rPr>
          <w:rFonts w:ascii="Times New Roman" w:cs="Times New Roman" w:eastAsia="Times New Roman" w:hAnsi="Times New Roman"/>
          <w:sz w:val="18"/>
          <w:szCs w:val="18"/>
          <w:color w:val="auto"/>
        </w:rPr>
        <w:t>As requested by BioAtla, the Parties will agree upon and execute a Pharmacovigilance Agreement.</w:t>
      </w:r>
    </w:p>
    <w:p>
      <w:pPr>
        <w:spacing w:after="0" w:line="212" w:lineRule="exact"/>
        <w:rPr>
          <w:sz w:val="20"/>
          <w:szCs w:val="20"/>
          <w:color w:val="auto"/>
        </w:rPr>
      </w:pPr>
    </w:p>
    <w:p>
      <w:pPr>
        <w:ind w:left="480" w:hanging="459"/>
        <w:spacing w:after="0"/>
        <w:tabs>
          <w:tab w:leader="none" w:pos="4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PROTOCOL AND RELATED DOCUMENTS.</w:t>
      </w:r>
    </w:p>
    <w:p>
      <w:pPr>
        <w:spacing w:after="0" w:line="117" w:lineRule="exact"/>
        <w:rPr>
          <w:sz w:val="20"/>
          <w:szCs w:val="20"/>
          <w:color w:val="auto"/>
        </w:rPr>
      </w:pPr>
    </w:p>
    <w:p>
      <w:pPr>
        <w:ind w:left="520" w:right="4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5.1. Protocol. </w:t>
      </w:r>
      <w:r>
        <w:rPr>
          <w:rFonts w:ascii="Times New Roman" w:cs="Times New Roman" w:eastAsia="Times New Roman" w:hAnsi="Times New Roman"/>
          <w:sz w:val="18"/>
          <w:szCs w:val="18"/>
          <w:color w:val="auto"/>
        </w:rPr>
        <w:t>A Protocol Synopsis, as governed by the approved IND, for the portion of the Global Initial Study in the PRC Territory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agreed to by the Parties as of the Effective Date and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520" w:right="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5.2. Consent Form. </w:t>
      </w:r>
      <w:r>
        <w:rPr>
          <w:rFonts w:ascii="Times New Roman" w:cs="Times New Roman" w:eastAsia="Times New Roman" w:hAnsi="Times New Roman"/>
          <w:sz w:val="18"/>
          <w:szCs w:val="18"/>
          <w:color w:val="auto"/>
        </w:rPr>
        <w:t>BioAtla shall provide a patient informed consent form to Sponsor. Sponsor shall ensure that any such patient informed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complies with GCP requirements and Applicable Laws.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FINANCIAL DISCLOSURE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The Parties shall work together to track and collect financial disclosure information from all “clinical investigators” involved in each Study.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AND TERMINATION.</w:t>
      </w:r>
    </w:p>
    <w:p>
      <w:pPr>
        <w:spacing w:after="0" w:line="104"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7.1. Term. </w:t>
      </w:r>
      <w:r>
        <w:rPr>
          <w:rFonts w:ascii="Times New Roman" w:cs="Times New Roman" w:eastAsia="Times New Roman" w:hAnsi="Times New Roman"/>
          <w:sz w:val="18"/>
          <w:szCs w:val="18"/>
          <w:color w:val="auto"/>
        </w:rPr>
        <w:t>The term of this Agreement shall commence on the Effective Date and shall continue in full force and effect until completion of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Parties hereunder for all Studies, or until terminated by either Party pursuant to this Article 7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Parties shall be entitled to enter into Study Plans during the period of time commencing on the Effective Date and expiring on the second (2nd ) anniversary of the Effective Date.</w:t>
      </w:r>
    </w:p>
    <w:p>
      <w:pPr>
        <w:spacing w:after="0" w:line="62" w:lineRule="exact"/>
        <w:rPr>
          <w:sz w:val="20"/>
          <w:szCs w:val="20"/>
          <w:color w:val="auto"/>
        </w:rPr>
      </w:pPr>
    </w:p>
    <w:p>
      <w:pPr>
        <w:ind w:left="520" w:right="20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7.2. Unsafe Use of Product. </w:t>
      </w:r>
      <w:r>
        <w:rPr>
          <w:rFonts w:ascii="Times New Roman" w:cs="Times New Roman" w:eastAsia="Times New Roman" w:hAnsi="Times New Roman"/>
          <w:sz w:val="18"/>
          <w:szCs w:val="18"/>
          <w:color w:val="auto"/>
        </w:rPr>
        <w:t>In the event that (a) BioAtla in good faith believes that a Product is being used in a manner that represents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unjustified risk to the safety of patients in the Study Field, and BioAtla fails to provide relevant information to Sponsor for Sponsor to incorporate changes into the Protocol requested in writing by BioAtla to address such issue, or (b) a Product is not being used as described in the Protocol, Sponsor has the right to immediately terminate this Agreement (or any Study being performed under this Agreement) upon written notice to BioAtla.</w:t>
      </w:r>
    </w:p>
    <w:p>
      <w:pPr>
        <w:spacing w:after="0" w:line="82" w:lineRule="exact"/>
        <w:rPr>
          <w:sz w:val="20"/>
          <w:szCs w:val="20"/>
          <w:color w:val="auto"/>
        </w:rPr>
      </w:pPr>
    </w:p>
    <w:p>
      <w:pPr>
        <w:ind w:left="520"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7.3. Termination for Material Breach. </w:t>
      </w:r>
      <w:r>
        <w:rPr>
          <w:rFonts w:ascii="Times New Roman" w:cs="Times New Roman" w:eastAsia="Times New Roman" w:hAnsi="Times New Roman"/>
          <w:sz w:val="18"/>
          <w:szCs w:val="18"/>
          <w:color w:val="auto"/>
        </w:rPr>
        <w:t>Either Party may terminate this Agreement if the other Party commits a material breach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such material breach remains uncured for thirty (30) days after receipt 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74" w:name="page75"/>
    <w:bookmarkEnd w:id="74"/>
    <w:p>
      <w:pPr>
        <w:ind w:left="520" w:right="160"/>
        <w:spacing w:after="0" w:line="250" w:lineRule="auto"/>
        <w:rPr>
          <w:sz w:val="20"/>
          <w:szCs w:val="20"/>
          <w:color w:val="auto"/>
        </w:rPr>
      </w:pPr>
      <w:r>
        <w:rPr>
          <w:rFonts w:ascii="Times New Roman" w:cs="Times New Roman" w:eastAsia="Times New Roman" w:hAnsi="Times New Roman"/>
          <w:sz w:val="18"/>
          <w:szCs w:val="18"/>
          <w:color w:val="auto"/>
        </w:rPr>
        <w:t>written notice thereof from the non-breaching Party; provided that if such material breach cannot reasonably be cured within thirty (30) days, the breaching Party shall be given a reasonable period of time to cure such breach not to exceed one-hundred and twenty (120) days; provided further, that if such material breach is incapable of cure, then the notifying Party may terminate this Agreement effective after the expiration of such thirty (30)- day period.</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 xml:space="preserve">7.4. Survival. </w:t>
      </w:r>
      <w:r>
        <w:rPr>
          <w:rFonts w:ascii="Times New Roman" w:cs="Times New Roman" w:eastAsia="Times New Roman" w:hAnsi="Times New Roman"/>
          <w:sz w:val="17"/>
          <w:szCs w:val="17"/>
          <w:color w:val="auto"/>
        </w:rPr>
        <w:t>The provisions of Sections 3.4-3.7, 4 and Article 1 (to the extent definitions are used in other surviving provisions) and Articles 7, 10-</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16 shall survive the expiration or termination of this Agreement.</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7.5. Effects of Termination.</w:t>
      </w:r>
    </w:p>
    <w:p>
      <w:pPr>
        <w:spacing w:after="0" w:line="106" w:lineRule="exact"/>
        <w:rPr>
          <w:sz w:val="20"/>
          <w:szCs w:val="20"/>
          <w:color w:val="auto"/>
        </w:rPr>
      </w:pPr>
    </w:p>
    <w:p>
      <w:pPr>
        <w:ind w:left="520" w:right="220"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7.5.1. No Prejudice. </w:t>
      </w:r>
      <w:r>
        <w:rPr>
          <w:rFonts w:ascii="Times New Roman" w:cs="Times New Roman" w:eastAsia="Times New Roman" w:hAnsi="Times New Roman"/>
          <w:sz w:val="18"/>
          <w:szCs w:val="18"/>
          <w:color w:val="auto"/>
        </w:rPr>
        <w:t>Termination of this Agreement shall be without prejudice to any claim or right of action of either Party against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for any prior breach of this Agreement.</w:t>
      </w:r>
    </w:p>
    <w:p>
      <w:pPr>
        <w:spacing w:after="0" w:line="64" w:lineRule="exact"/>
        <w:rPr>
          <w:sz w:val="20"/>
          <w:szCs w:val="20"/>
          <w:color w:val="auto"/>
        </w:rPr>
      </w:pPr>
    </w:p>
    <w:p>
      <w:pPr>
        <w:ind w:left="520" w:right="180"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7.5.2. Study Completion</w:t>
      </w:r>
      <w:r>
        <w:rPr>
          <w:rFonts w:ascii="Times New Roman" w:cs="Times New Roman" w:eastAsia="Times New Roman" w:hAnsi="Times New Roman"/>
          <w:sz w:val="18"/>
          <w:szCs w:val="18"/>
          <w:color w:val="auto"/>
        </w:rPr>
        <w:t>. In the event of any termination of this Agreement, the Parties shall cooperate in good faith to complete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existing ongoing Studies as directed by BioAtla in accordance with all Applicable Laws.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COSTS OF STUDY AND PAYMENTS.</w:t>
      </w:r>
    </w:p>
    <w:p>
      <w:pPr>
        <w:spacing w:after="0" w:line="117" w:lineRule="exact"/>
        <w:rPr>
          <w:sz w:val="20"/>
          <w:szCs w:val="20"/>
          <w:color w:val="auto"/>
        </w:rPr>
      </w:pPr>
    </w:p>
    <w:p>
      <w:pPr>
        <w:ind w:left="520" w:right="4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Pursuant to each Study, BioAtla shall fund all costs for the Global Initial Study, including (a) all amounts owed to the applicable CROs, (b)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supply costs (including replacement for Non-Conformance prior to delivery of Product), and (c) funding for the equivalent of two (2) full time equivalent personnel (“FTE”s) of Sponsor for activities allocated to Sponsor (at an annual rate per FTE per year and for a period of time as mutually agreed by the Parties). For the Global Initial Study, BioAtla shall pay Sponsor for the full time use of two of its personnel (based upon the full-time equivalent costs of such personnel of [***] for the period ending on the first anniversary of the Effective Date. All such payments are non-refundable. Payments are due and payable by BioAtla to Sponsor on a quarterly calendar basis, with the first of four quarterly payments (equal to [***]) due within [***] of the Effective Date, and subsequent payments of [***] due each [***] period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SUPPLY AND USE OF THE PRODUCT.</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9.1. Product Supply. </w:t>
      </w:r>
      <w:r>
        <w:rPr>
          <w:rFonts w:ascii="Times New Roman" w:cs="Times New Roman" w:eastAsia="Times New Roman" w:hAnsi="Times New Roman"/>
          <w:sz w:val="18"/>
          <w:szCs w:val="18"/>
          <w:color w:val="auto"/>
        </w:rPr>
        <w:t>As between the Parties, BioAtla shall be solely responsible, at its own cost, for supplying Product for each Study Plan.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CONFIDENTIALITY.</w:t>
      </w:r>
    </w:p>
    <w:p>
      <w:pPr>
        <w:spacing w:after="0" w:line="104" w:lineRule="exact"/>
        <w:rPr>
          <w:sz w:val="20"/>
          <w:szCs w:val="20"/>
          <w:color w:val="auto"/>
        </w:rPr>
      </w:pPr>
    </w:p>
    <w:p>
      <w:pPr>
        <w:ind w:left="520"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 Confidential Information. </w:t>
      </w:r>
      <w:r>
        <w:rPr>
          <w:rFonts w:ascii="Times New Roman" w:cs="Times New Roman" w:eastAsia="Times New Roman" w:hAnsi="Times New Roman"/>
          <w:sz w:val="18"/>
          <w:szCs w:val="18"/>
          <w:color w:val="auto"/>
        </w:rPr>
        <w:t>Article 9 of the Exclusive Rights Agreement shall apply to the Confidential Information pertaining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33" w:lineRule="exact"/>
        <w:rPr>
          <w:sz w:val="20"/>
          <w:szCs w:val="20"/>
          <w:color w:val="auto"/>
        </w:rPr>
      </w:pPr>
    </w:p>
    <w:p>
      <w:pPr>
        <w:ind w:left="520" w:right="4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10.2. Personally Identifiable Data. </w:t>
      </w:r>
      <w:r>
        <w:rPr>
          <w:rFonts w:ascii="Times New Roman" w:cs="Times New Roman" w:eastAsia="Times New Roman" w:hAnsi="Times New Roman"/>
          <w:sz w:val="18"/>
          <w:szCs w:val="18"/>
          <w:color w:val="auto"/>
        </w:rPr>
        <w:t>All Confidential Information containing personal identifiable data shall be handled in accordance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data protection and privacy laws, rules and regulations applicable to such Party.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COMPLIANCE WITH APPLICABLE LAWS; REGULATORY MEETINGS.</w:t>
      </w:r>
    </w:p>
    <w:p>
      <w:pPr>
        <w:spacing w:after="0" w:line="104" w:lineRule="exact"/>
        <w:rPr>
          <w:sz w:val="20"/>
          <w:szCs w:val="20"/>
          <w:color w:val="auto"/>
        </w:rPr>
      </w:pPr>
    </w:p>
    <w:p>
      <w:pPr>
        <w:ind w:left="520" w:right="10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11.1. Compliance. </w:t>
      </w:r>
      <w:r>
        <w:rPr>
          <w:rFonts w:ascii="Times New Roman" w:cs="Times New Roman" w:eastAsia="Times New Roman" w:hAnsi="Times New Roman"/>
          <w:sz w:val="18"/>
          <w:szCs w:val="18"/>
          <w:color w:val="auto"/>
        </w:rPr>
        <w:t>In performing their respective obligations hereunder, the Parties acknowledge that the corporate policies of Sponsor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BioAtla and their respective Affiliates require that each Party’s business be conducted within the letter and spirit of the law. By signing this Agreement, each Party agrees to conduct the business contemplated herein in a manner which is consistent in all material respects with all Applicable Law, including the U.S. Foreign Corrupt Practices Act, good business ethics, and such Party’s ethics and other corporate policies. Each Party represents and warrants that it and its Representatives have not, and covenants that it and its Representatives will not, in connection with the performance of this Agreement, directly or indirectly, make, promise, authorize, ratify or offer to make, or take any action in furtherance of, any payment or transfer of anything of value for the purpose of (a) influencing, inducing or rewarding any act, omission or decision to secure an improper advantage, (b) improperly assisting it in obtaining or retaining business for it or the other Party or (c) public or commercial bribery.</w:t>
      </w:r>
    </w:p>
    <w:p>
      <w:pPr>
        <w:spacing w:after="0" w:line="72" w:lineRule="exact"/>
        <w:rPr>
          <w:sz w:val="20"/>
          <w:szCs w:val="20"/>
          <w:color w:val="auto"/>
        </w:rPr>
      </w:pPr>
    </w:p>
    <w:p>
      <w:pPr>
        <w:ind w:left="520" w:right="2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11.2. Meetings with NMPA. </w:t>
      </w:r>
      <w:r>
        <w:rPr>
          <w:rFonts w:ascii="Times New Roman" w:cs="Times New Roman" w:eastAsia="Times New Roman" w:hAnsi="Times New Roman"/>
          <w:sz w:val="18"/>
          <w:szCs w:val="18"/>
          <w:color w:val="auto"/>
        </w:rPr>
        <w:t>Neither Party shall contact or otherwise knowingly meet with the NMPA for the purpose of discussing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out of or in connection with this Agreement without the prior written approval of the other Party, except where such meeting is consistent with the purpose and terms of this Agreement and in compliance with Applicable Law.</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LIMITATION OF LIABILITY.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75" w:name="page76"/>
    <w:bookmarkEnd w:id="75"/>
    <w:p>
      <w:pPr>
        <w:ind w:left="520"/>
        <w:spacing w:after="0" w:line="243" w:lineRule="auto"/>
        <w:rPr>
          <w:sz w:val="20"/>
          <w:szCs w:val="20"/>
          <w:color w:val="auto"/>
        </w:rPr>
      </w:pPr>
      <w:r>
        <w:rPr>
          <w:rFonts w:ascii="Times New Roman" w:cs="Times New Roman" w:eastAsia="Times New Roman" w:hAnsi="Times New Roman"/>
          <w:sz w:val="18"/>
          <w:szCs w:val="18"/>
          <w:color w:val="auto"/>
        </w:rPr>
        <w:t>IN NO EVENT SHALL EITHER PARTY (OR ANY OF ITS AFFILIATES OR SUBCONTRACTORS) BE LIABLE TO THE OTHER PARTY FOR, NOR SHALL ANY PARTY HAVE THE RIGHT TO RECOVER, ANY SPECIAL, INDIRECT, INCIDENTAL, PUNITIVE OR CONSEQUENTIAL DAMAGES (INCLUDING LOST PROFITS OR DAMAGES FOR LOST OPPORTUNITIES), WHETHER IN CONTRACT, WARRANTY, NEGLIGENCE, TORT, STRICT LIABILITY OR OTHERWISE, ARISING OUT OF (x) THE MANUFACTURE OR USE OF ANY PRODUCT SUPPLIED HEREUNDER OR (y) ANY BREACH OF OR FAILURE TO PERFORM ANY OF THE PROVISIONS OF THIS AGREEMENT OR ANY REPRESENTATION, WARRANTY OR COVENANT CONTAINED IN OR MADE PURSUANT TO THIS AGREEMENT, EXCEPT THAT SUCH LIMITATION SHALL NOT APPLY TO DAMAGES PAID OR PAYABLE TO A THIRD PARTY OR DAMAGES RESULTING FROM ANY WILLFUL AND INTENTIONAL BREACH OF THIS AGREEMENT.</w:t>
      </w:r>
    </w:p>
    <w:p>
      <w:pPr>
        <w:spacing w:after="0" w:line="200" w:lineRule="exact"/>
        <w:rPr>
          <w:sz w:val="20"/>
          <w:szCs w:val="20"/>
          <w:color w:val="auto"/>
        </w:rPr>
      </w:pPr>
    </w:p>
    <w:p>
      <w:pPr>
        <w:spacing w:after="0" w:line="202" w:lineRule="exact"/>
        <w:rPr>
          <w:sz w:val="20"/>
          <w:szCs w:val="20"/>
          <w:color w:val="auto"/>
        </w:rPr>
      </w:pPr>
    </w:p>
    <w:p>
      <w:pPr>
        <w:ind w:left="520" w:right="220"/>
        <w:spacing w:after="0" w:line="242" w:lineRule="auto"/>
        <w:rPr>
          <w:sz w:val="20"/>
          <w:szCs w:val="20"/>
          <w:color w:val="auto"/>
        </w:rPr>
      </w:pPr>
      <w:r>
        <w:rPr>
          <w:rFonts w:ascii="Times New Roman" w:cs="Times New Roman" w:eastAsia="Times New Roman" w:hAnsi="Times New Roman"/>
          <w:sz w:val="18"/>
          <w:szCs w:val="18"/>
          <w:color w:val="auto"/>
        </w:rPr>
        <w:t>EXCEPT FOR ANY WILLFUL BREACH BY SPONSOR, IN NO EVENT SHALL SPONSOR BE LIABLE FOR ANY SPECIAL, INDIRECT, INCIDENTAL, PUNITIVE OR CONSEQUENTIAL DAMAGES (INCLUDING LOST PROFITS OR DAMAGES FOR LOST OPPORTUNITIES), WHETHER IN CONTRACT, WARRANTY, NEGLIGENCE, TORT, STRICT LIABILITY OR OTHERWISE, ARISING OUT OF (x) ANY STUDY CONDUCTED BY BIOATLA HEREUNDER (y) ANY BREACH OF OR FAILURE TO PERFORM ANY OF THE PROVISIONS OF THIS AGREEMENT OR ANY REPRESENTATION, WARRANTY OR COVENANT CONTAINED IN OR MADE PURSUANT TO THIS AGREEMENT, INCLUDING DAMAGES PAID OR PAYABLE TO A THIRD PARTY OR (z) ANY ACTION OF ANY THIRD PARTY AS PART OF A STUDY 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ENTIRE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MODIFICATION.</w:t>
      </w:r>
    </w:p>
    <w:p>
      <w:pPr>
        <w:spacing w:after="0" w:line="104" w:lineRule="exact"/>
        <w:rPr>
          <w:sz w:val="20"/>
          <w:szCs w:val="20"/>
          <w:color w:val="auto"/>
        </w:rPr>
      </w:pPr>
    </w:p>
    <w:p>
      <w:pPr>
        <w:ind w:left="520" w:right="22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13.1. </w:t>
      </w:r>
      <w:r>
        <w:rPr>
          <w:rFonts w:ascii="Times New Roman" w:cs="Times New Roman" w:eastAsia="Times New Roman" w:hAnsi="Times New Roman"/>
          <w:sz w:val="17"/>
          <w:szCs w:val="17"/>
          <w:color w:val="auto"/>
        </w:rPr>
        <w:t>The Parties agree to the full and complete performance of the mutual covenants contained in this Agreement. This Agreement, together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Exclusive Rights Agreement (and the agreements referred to herein and therein), constitutes the sole, full and complete agreement by and between the Parties with respect to the subject matter of this Agreement, and all prior agreements, understandings, promises and representations, whether written or oral, with respect thereto are superseded by this Agreement. Except as provided in Section 2.2, no amendments, changes, additions, deletions or modifications to or of this Agreement shall be valid unless reduced to writing and signed by the Parties hereto.</w:t>
      </w:r>
    </w:p>
    <w:p>
      <w:pPr>
        <w:spacing w:after="0" w:line="142" w:lineRule="exact"/>
        <w:rPr>
          <w:sz w:val="20"/>
          <w:szCs w:val="20"/>
          <w:color w:val="auto"/>
        </w:rPr>
      </w:pPr>
    </w:p>
    <w:p>
      <w:pPr>
        <w:ind w:left="480" w:hanging="459"/>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6" w:lineRule="exact"/>
        <w:rPr>
          <w:sz w:val="20"/>
          <w:szCs w:val="20"/>
          <w:color w:val="auto"/>
        </w:rPr>
      </w:pPr>
    </w:p>
    <w:p>
      <w:pPr>
        <w:ind w:left="640" w:right="4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Neither Party shall assign or transfer this Agreement without the prior written consent of the other Party; provided, however, that 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assign this Agreement without the other Party’s consent to one or more of its Affiliates or to a Third Party that merges with, consolidates with or acquires all or substantially all of the business or assets or voting control of the assigning Party, and any and all rights and obligations of either Party may be exercised or performed by its Affiliates, provided that such Affiliates agree to be bound by this Agreement and the applicable Party shall remain responsible for and liable for all acts and omissions of such Party’s Affiliate.</w:t>
      </w:r>
    </w:p>
    <w:p>
      <w:pPr>
        <w:spacing w:after="0" w:line="383" w:lineRule="exact"/>
        <w:rPr>
          <w:sz w:val="20"/>
          <w:szCs w:val="20"/>
          <w:color w:val="auto"/>
        </w:rPr>
      </w:pPr>
    </w:p>
    <w:p>
      <w:pPr>
        <w:ind w:left="480" w:hanging="459"/>
        <w:spacing w:after="0"/>
        <w:tabs>
          <w:tab w:leader="none" w:pos="4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INVALID PROVISION.</w:t>
      </w:r>
    </w:p>
    <w:p>
      <w:pPr>
        <w:spacing w:after="0" w:line="6" w:lineRule="exact"/>
        <w:rPr>
          <w:sz w:val="20"/>
          <w:szCs w:val="20"/>
          <w:color w:val="auto"/>
        </w:rPr>
      </w:pPr>
    </w:p>
    <w:p>
      <w:pPr>
        <w:ind w:left="640" w:right="260"/>
        <w:spacing w:after="0" w:line="226"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color w:val="auto"/>
        </w:rPr>
        <w:t>If any provision of this Agreement is held to be illegal, invalid or unenforceable, the remaining provisions shall remain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and will not be affected by the illegal, invalid or unenforceable provision. In lieu of the illegal, invalid or unenforceable provision, the Parties shall negotiate in good faith to agree upon a reasonable provision that is legal, valid and enforceable to carry out as nearly as practicable the original intention of the entire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6" w:name="page77"/>
    <w:bookmarkEnd w:id="76"/>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entered into this Agreement as of the Effective Date.</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BioAtla, Inc.</w:t>
            </w:r>
          </w:p>
        </w:tc>
        <w:tc>
          <w:tcPr>
            <w:tcW w:w="59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Himalaya Therapeutics Limited Company</w:t>
            </w:r>
          </w:p>
        </w:tc>
      </w:tr>
      <w:tr>
        <w:trPr>
          <w:trHeight w:val="60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Monica Sullivan</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Carolyn Short</w:t>
            </w:r>
          </w:p>
        </w:tc>
      </w:tr>
      <w:tr>
        <w:trPr>
          <w:trHeight w:val="38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Monica Sullivan</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Carolyn Short</w:t>
            </w:r>
          </w:p>
        </w:tc>
      </w:tr>
      <w:tr>
        <w:trPr>
          <w:trHeight w:val="38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SVP, IP and Contracts</w:t>
            </w:r>
          </w:p>
        </w:tc>
        <w:tc>
          <w:tcPr>
            <w:tcW w:w="1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President and COO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China Clinical Trial Services Agreement]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tbl>
      <w:tblPr>
        <w:tblLayout w:type="fixed"/>
        <w:tblInd w:w="10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Annexes to China Clinical Trial Services Agreement</w:t>
            </w:r>
          </w:p>
        </w:tc>
        <w:tc>
          <w:tcPr>
            <w:tcW w:w="1560" w:type="dxa"/>
            <w:vAlign w:val="bottom"/>
          </w:tcPr>
          <w:p>
            <w:pPr>
              <w:spacing w:after="0"/>
              <w:rPr>
                <w:sz w:val="17"/>
                <w:szCs w:val="17"/>
                <w:color w:val="auto"/>
              </w:rPr>
            </w:pPr>
          </w:p>
        </w:tc>
      </w:tr>
      <w:tr>
        <w:trPr>
          <w:trHeight w:val="39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53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Study Plan</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Annex B</w:t>
            </w:r>
          </w:p>
        </w:tc>
        <w:tc>
          <w:tcPr>
            <w:tcW w:w="53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w w:val="99"/>
              </w:rPr>
              <w:t>Services to be Provided by Sponsor to BioAtla</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Item 601(a)(5) of Regulation S-K, the above annexes have been omitted and will be furnished supplementally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13" w:right="5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80" w:hanging="512"/>
        <w:spacing w:after="0" w:line="269" w:lineRule="auto"/>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91" w:lineRule="exact"/>
        <w:rPr>
          <w:rFonts w:ascii="Times New Roman" w:cs="Times New Roman" w:eastAsia="Times New Roman" w:hAnsi="Times New Roman"/>
          <w:sz w:val="17"/>
          <w:szCs w:val="17"/>
          <w:color w:val="auto"/>
        </w:rPr>
      </w:pPr>
    </w:p>
    <w:p>
      <w:pPr>
        <w:ind w:left="1020" w:hanging="503"/>
        <w:spacing w:after="0" w:line="258"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Jay M. Short, Ph.D.</w:t>
      </w:r>
    </w:p>
    <w:p>
      <w:pPr>
        <w:ind w:left="7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80" w:hanging="512"/>
        <w:spacing w:after="0" w:line="269" w:lineRule="auto"/>
        <w:tabs>
          <w:tab w:leader="none" w:pos="5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91" w:lineRule="exact"/>
        <w:rPr>
          <w:rFonts w:ascii="Times New Roman" w:cs="Times New Roman" w:eastAsia="Times New Roman" w:hAnsi="Times New Roman"/>
          <w:sz w:val="17"/>
          <w:szCs w:val="17"/>
          <w:color w:val="auto"/>
        </w:rPr>
      </w:pPr>
    </w:p>
    <w:p>
      <w:pPr>
        <w:ind w:left="1020" w:hanging="503"/>
        <w:spacing w:after="0" w:line="258"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jc w:val="center"/>
        <w:ind w:right="1760"/>
        <w:spacing w:after="0"/>
        <w:tabs>
          <w:tab w:leader="none" w:pos="4120" w:val="left"/>
          <w:tab w:leader="none" w:pos="18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Richard A. Waldron</w:t>
      </w:r>
    </w:p>
    <w:p>
      <w:pPr>
        <w:jc w:val="center"/>
        <w:ind w:left="600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50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BioAtla, Inc. (the “Company”) on Form 10-Q for the period ending June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49" w:lineRule="exact"/>
        <w:rPr>
          <w:sz w:val="20"/>
          <w:szCs w:val="20"/>
          <w:color w:val="auto"/>
        </w:rPr>
      </w:pPr>
    </w:p>
    <w:p>
      <w:pPr>
        <w:ind w:left="20"/>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M. Short,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Jay M. Short, Ph.D.</w:t>
      </w:r>
    </w:p>
    <w:p>
      <w:pPr>
        <w:ind w:left="780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78" w:lineRule="exact"/>
        <w:rPr>
          <w:sz w:val="20"/>
          <w:szCs w:val="20"/>
          <w:color w:val="auto"/>
        </w:rPr>
      </w:pPr>
    </w:p>
    <w:p>
      <w:pPr>
        <w:jc w:val="center"/>
        <w:ind w:right="1760"/>
        <w:spacing w:after="0"/>
        <w:tabs>
          <w:tab w:leader="none" w:pos="4120" w:val="left"/>
          <w:tab w:leader="none" w:pos="18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A. Waldron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Richard A. Waldron</w:t>
      </w:r>
    </w:p>
    <w:p>
      <w:pPr>
        <w:jc w:val="center"/>
        <w:ind w:left="600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9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lvl w:ilvl="1">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2"/>
    </w:lvl>
  </w:abstractNum>
  <w:abstractNum w:abstractNumId="36">
    <w:nsid w:val="153EA438"/>
    <w:multiLevelType w:val="hybridMultilevel"/>
    <w:lvl w:ilvl="0">
      <w:lvlJc w:val="left"/>
      <w:lvlText w:val="%1."/>
      <w:numFmt w:val="decimal"/>
      <w:start w:val="3"/>
    </w:lvl>
  </w:abstractNum>
  <w:abstractNum w:abstractNumId="37">
    <w:nsid w:val="3855585C"/>
    <w:multiLevelType w:val="hybridMultilevel"/>
    <w:lvl w:ilvl="0">
      <w:lvlJc w:val="left"/>
      <w:lvlText w:val="(%1)"/>
      <w:numFmt w:val="lowerLetter"/>
      <w:start w:val="4"/>
    </w:lvl>
  </w:abstractNum>
  <w:abstractNum w:abstractNumId="38">
    <w:nsid w:val="70A64E2A"/>
    <w:multiLevelType w:val="hybridMultilevel"/>
    <w:lvl w:ilvl="0">
      <w:lvlJc w:val="left"/>
      <w:lvlText w:val="%1."/>
      <w:numFmt w:val="decimal"/>
      <w:start w:val="4"/>
    </w:lvl>
  </w:abstractNum>
  <w:abstractNum w:abstractNumId="39">
    <w:nsid w:val="6A2342EC"/>
    <w:multiLevelType w:val="hybridMultilevel"/>
    <w:lvl w:ilvl="0">
      <w:lvlJc w:val="left"/>
      <w:lvlText w:val="%1."/>
      <w:numFmt w:val="decimal"/>
      <w:start w:val="5"/>
    </w:lvl>
  </w:abstractNum>
  <w:abstractNum w:abstractNumId="40">
    <w:nsid w:val="2A487CB0"/>
    <w:multiLevelType w:val="hybridMultilevel"/>
    <w:lvl w:ilvl="0">
      <w:lvlJc w:val="left"/>
      <w:lvlText w:val="%1."/>
      <w:numFmt w:val="decimal"/>
      <w:start w:val="14"/>
    </w:lvl>
  </w:abstractNum>
  <w:abstractNum w:abstractNumId="41">
    <w:nsid w:val="1D4ED43B"/>
    <w:multiLevelType w:val="hybridMultilevel"/>
    <w:lvl w:ilvl="0">
      <w:lvlJc w:val="left"/>
      <w:lvlText w:val="%1."/>
      <w:numFmt w:val="decimal"/>
      <w:start w:val="15"/>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2022-08-09T19:16:25Z</dcterms:created>
  <dcterms:modified xsi:type="dcterms:W3CDTF">2022-08-09T19:16:25Z</dcterms:modified>
</cp:coreProperties>
</file>